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0A50CB">
      <w:pPr>
        <w:pStyle w:val="BodyText"/>
        <w:ind w:firstLine="0"/>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1273D6FD" w:rsidR="00203691" w:rsidRDefault="007D7E00" w:rsidP="00203691">
      <w:pPr>
        <w:pStyle w:val="RptTitle"/>
      </w:pPr>
      <w:r>
        <w:t xml:space="preserve">Increasing Water Security on Pacific Islands Through Increased Data Availability and Understanding—Volume </w:t>
      </w:r>
      <w:r w:rsidR="00A6714C">
        <w:t>6</w:t>
      </w:r>
      <w:r w:rsidR="009F718F">
        <w:t xml:space="preserve">, </w:t>
      </w:r>
      <w:r w:rsidR="00A6714C">
        <w:t>Republic of Marshall Islands</w:t>
      </w:r>
    </w:p>
    <w:p w14:paraId="2302B286" w14:textId="73612448" w:rsidR="006A110F" w:rsidRPr="00BB2C9D" w:rsidRDefault="006A110F" w:rsidP="0083586C">
      <w:pPr>
        <w:pStyle w:val="AuthorFootnote"/>
      </w:pPr>
      <w:bookmarkStart w:id="5" w:name="_Hlk137455813"/>
      <w:r>
        <w:t xml:space="preserve">By </w:t>
      </w:r>
      <w:bookmarkStart w:id="6" w:name="_Hlk219445430"/>
      <w:r>
        <w:t xml:space="preserve">Gabriel </w:t>
      </w:r>
      <w:r w:rsidR="00596181">
        <w:t xml:space="preserve">B. </w:t>
      </w:r>
      <w:r>
        <w:t>Senay,</w:t>
      </w:r>
      <w:r w:rsidRPr="00AA12C5">
        <w:rPr>
          <w:vertAlign w:val="superscript"/>
        </w:rPr>
        <w:t>1</w:t>
      </w:r>
      <w:r>
        <w:t xml:space="preserve"> Francis K. </w:t>
      </w:r>
      <w:bookmarkStart w:id="7" w:name="_Hlk219445501"/>
      <w:r>
        <w:t>Dwomoh</w:t>
      </w:r>
      <w:bookmarkEnd w:id="7"/>
      <w:r>
        <w:t>,</w:t>
      </w:r>
      <w:r>
        <w:rPr>
          <w:vertAlign w:val="superscript"/>
        </w:rPr>
        <w:t>2</w:t>
      </w:r>
      <w:r>
        <w:t xml:space="preserve"> Stefanie Kagone,</w:t>
      </w:r>
      <w:r>
        <w:rPr>
          <w:vertAlign w:val="superscript"/>
        </w:rPr>
        <w:t>2</w:t>
      </w:r>
      <w:r>
        <w:t xml:space="preserve"> </w:t>
      </w:r>
      <w:r w:rsidR="00C2481E">
        <w:t>Tomas Smieszek</w:t>
      </w:r>
      <w:r w:rsidR="00C2481E" w:rsidRPr="4ABFC6BB">
        <w:rPr>
          <w:vertAlign w:val="superscript"/>
        </w:rPr>
        <w:t>1</w:t>
      </w:r>
      <w:r w:rsidR="003848EB">
        <w:rPr>
          <w:vertAlign w:val="superscript"/>
        </w:rPr>
        <w:t>,</w:t>
      </w:r>
      <w:r w:rsidR="00C2481E">
        <w:rPr>
          <w:vertAlign w:val="superscript"/>
        </w:rPr>
        <w:t xml:space="preserve"> </w:t>
      </w:r>
      <w:r>
        <w:t>and Matthew E. Andersen</w:t>
      </w:r>
      <w:bookmarkEnd w:id="6"/>
      <w:r w:rsidRPr="00AA12C5">
        <w:rPr>
          <w:vertAlign w:val="superscript"/>
        </w:rPr>
        <w:t>1</w:t>
      </w:r>
    </w:p>
    <w:bookmarkEnd w:id="5"/>
    <w:p w14:paraId="49EA078D" w14:textId="77777777" w:rsidR="00714F3F" w:rsidRDefault="00714F3F" w:rsidP="00714F3F">
      <w:pPr>
        <w:pStyle w:val="AuthorFootnote"/>
        <w:spacing w:line="240" w:lineRule="auto"/>
      </w:pPr>
      <w:r w:rsidRPr="00BB2C9D">
        <w:rPr>
          <w:vertAlign w:val="superscript"/>
        </w:rPr>
        <w:t>1</w:t>
      </w:r>
      <w:r>
        <w:t>U.S. Geological Survey.</w:t>
      </w:r>
    </w:p>
    <w:p w14:paraId="32309A5E" w14:textId="77777777" w:rsidR="00714F3F" w:rsidRDefault="00714F3F" w:rsidP="00714F3F">
      <w:pPr>
        <w:pStyle w:val="AuthorFootnote"/>
        <w:spacing w:line="240" w:lineRule="auto"/>
      </w:pPr>
      <w:r>
        <w:rPr>
          <w:vertAlign w:val="superscript"/>
        </w:rPr>
        <w:t>2</w:t>
      </w:r>
      <w:r w:rsidRPr="00DB298B">
        <w:t>ASRC Federal, contractor to the U.S. Geological Survey (USGS) Earth Resources Observations and Science (EROS) Center, Sioux Falls, SD 57198, USA. Work performed under USGS Contract [140G0124D0001]</w:t>
      </w:r>
      <w:r>
        <w:t>.</w:t>
      </w:r>
    </w:p>
    <w:p w14:paraId="643D0E64" w14:textId="77777777" w:rsidR="00714F3F" w:rsidRDefault="00714F3F" w:rsidP="00714F3F">
      <w:pPr>
        <w:pStyle w:val="AuthorFootnote"/>
        <w:spacing w:line="240" w:lineRule="auto"/>
      </w:pPr>
    </w:p>
    <w:p w14:paraId="792FD0EF" w14:textId="77777777" w:rsidR="00203691" w:rsidRDefault="00203691" w:rsidP="0083586C">
      <w:pPr>
        <w:pStyle w:val="Non-XMLText"/>
        <w:jc w:val="both"/>
      </w:pPr>
      <w:r>
        <w:t>Any use of trade, firm, or product names is for descriptive purposes only and does not imply endorsement by the U.S. Government.</w:t>
      </w:r>
    </w:p>
    <w:p w14:paraId="3A6F54F7" w14:textId="77777777" w:rsidR="00203691" w:rsidRDefault="00203691" w:rsidP="0083586C">
      <w:pPr>
        <w:pStyle w:val="Non-XMLText"/>
        <w:jc w:val="both"/>
      </w:pPr>
      <w:r>
        <w:t>Although this information product, for the most part, is in the public domain, it also may contain copyrighted materials as noted in the text. Permission to reproduce copyrighted items must be secured from the copyright owner.</w:t>
      </w:r>
    </w:p>
    <w:p w14:paraId="3FA28343" w14:textId="77777777" w:rsidR="00C54333" w:rsidRPr="00C54333" w:rsidRDefault="00C54333" w:rsidP="0083586C">
      <w:pPr>
        <w:pStyle w:val="Non-XMLText"/>
        <w:jc w:val="both"/>
      </w:pPr>
      <w:r w:rsidRPr="00C54333">
        <w:t xml:space="preserve">This draft manuscript is distributed solely for purposes of courtesy review and comments received will be addressed and treated as appropriate to ensure there is no conflict of interest. Its content is </w:t>
      </w:r>
      <w:proofErr w:type="gramStart"/>
      <w:r w:rsidRPr="00C54333">
        <w:t>deliberative</w:t>
      </w:r>
      <w:proofErr w:type="gramEnd"/>
      <w:r w:rsidRPr="00C54333">
        <w:t xml:space="preserve"> and </w:t>
      </w:r>
      <w:proofErr w:type="spellStart"/>
      <w:r w:rsidRPr="00C54333">
        <w:t>predecisional</w:t>
      </w:r>
      <w:proofErr w:type="spellEnd"/>
      <w:r w:rsidRPr="00C54333">
        <w:t>, so it must not be disclosed or released by reviewers. Because the manuscript has not yet been approved for publication by the U.S. Geological Survey (USGS), it does not represent any official USGS finding or policy.</w:t>
      </w:r>
    </w:p>
    <w:p w14:paraId="4FFA326B" w14:textId="77777777" w:rsidR="00C54333" w:rsidRDefault="00C54333" w:rsidP="00203691">
      <w:pPr>
        <w:pStyle w:val="Non-XMLText"/>
      </w:pPr>
    </w:p>
    <w:p w14:paraId="13E9A01D" w14:textId="77777777" w:rsidR="00185D62" w:rsidRDefault="00185D62">
      <w:pPr>
        <w:rPr>
          <w:rFonts w:ascii="Arial Narrow" w:eastAsia="Calibri" w:hAnsi="Arial Narrow" w:cs="Times New Roman"/>
          <w:sz w:val="32"/>
        </w:rPr>
      </w:pPr>
      <w:bookmarkStart w:id="8" w:name="_Toc507583974"/>
      <w:bookmarkStart w:id="9" w:name="_Toc507584028"/>
      <w:bookmarkStart w:id="10" w:name="_Toc531073705"/>
      <w:bookmarkStart w:id="11" w:name="_Toc227693245"/>
      <w:r>
        <w:br w:type="page"/>
      </w:r>
    </w:p>
    <w:p w14:paraId="1EE00DB8" w14:textId="17CC4E6E" w:rsidR="00203691" w:rsidRPr="00806F81" w:rsidRDefault="00203691" w:rsidP="00203691">
      <w:pPr>
        <w:pStyle w:val="AckHeadFront"/>
      </w:pPr>
      <w:r w:rsidRPr="00806F81">
        <w:lastRenderedPageBreak/>
        <w:t>Acknowledgments</w:t>
      </w:r>
      <w:bookmarkEnd w:id="8"/>
      <w:bookmarkEnd w:id="9"/>
      <w:bookmarkEnd w:id="10"/>
      <w:bookmarkEnd w:id="11"/>
    </w:p>
    <w:p w14:paraId="3C7AE706" w14:textId="76BF0334" w:rsidR="00627205" w:rsidRDefault="00627205" w:rsidP="00627205">
      <w:pPr>
        <w:pStyle w:val="Acknowledgments"/>
      </w:pPr>
      <w:r>
        <w:t>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2" w:name="_Toc507583975"/>
      <w:bookmarkStart w:id="13" w:name="_Toc507584029"/>
      <w:r>
        <w:t>Outline</w:t>
      </w:r>
      <w:bookmarkEnd w:id="12"/>
      <w:bookmarkEnd w:id="13"/>
    </w:p>
    <w:p w14:paraId="590B040C" w14:textId="161A271E" w:rsidR="00DF6521" w:rsidRDefault="00780032">
      <w:pPr>
        <w:pStyle w:val="TOC1"/>
        <w:rPr>
          <w:rFonts w:asciiTheme="minorHAnsi" w:eastAsiaTheme="minorEastAsia" w:hAnsiTheme="minorHAnsi" w:cstheme="minorBidi"/>
          <w:noProof/>
          <w:kern w:val="2"/>
          <w14:ligatures w14:val="standardContextual"/>
        </w:rPr>
      </w:pPr>
      <w:r>
        <w:rPr>
          <w:color w:val="2B579A"/>
          <w:shd w:val="clear" w:color="auto" w:fill="E6E6E6"/>
        </w:rPr>
        <w:fldChar w:fldCharType="begin"/>
      </w:r>
      <w:r>
        <w:rPr>
          <w:color w:val="2B579A"/>
          <w:shd w:val="clear" w:color="auto" w:fill="E6E6E6"/>
        </w:rPr>
        <w:instrText xml:space="preserve"> TOC \o "1-3" \h \z \u </w:instrText>
      </w:r>
      <w:r>
        <w:rPr>
          <w:color w:val="2B579A"/>
          <w:shd w:val="clear" w:color="auto" w:fill="E6E6E6"/>
        </w:rPr>
        <w:fldChar w:fldCharType="separate"/>
      </w:r>
      <w:hyperlink w:anchor="_Toc227693245" w:history="1">
        <w:r w:rsidR="00DF6521" w:rsidRPr="004713D5">
          <w:rPr>
            <w:rStyle w:val="Hyperlink"/>
            <w:noProof/>
          </w:rPr>
          <w:t>Acknowledgments</w:t>
        </w:r>
        <w:r w:rsidR="00DF6521">
          <w:rPr>
            <w:noProof/>
            <w:webHidden/>
          </w:rPr>
          <w:tab/>
        </w:r>
        <w:r w:rsidR="00DF6521">
          <w:rPr>
            <w:noProof/>
            <w:webHidden/>
          </w:rPr>
          <w:fldChar w:fldCharType="begin"/>
        </w:r>
        <w:r w:rsidR="00DF6521">
          <w:rPr>
            <w:noProof/>
            <w:webHidden/>
          </w:rPr>
          <w:instrText xml:space="preserve"> PAGEREF _Toc227693245 \h </w:instrText>
        </w:r>
        <w:r w:rsidR="00DF6521">
          <w:rPr>
            <w:noProof/>
            <w:webHidden/>
          </w:rPr>
        </w:r>
        <w:r w:rsidR="00DF6521">
          <w:rPr>
            <w:noProof/>
            <w:webHidden/>
          </w:rPr>
          <w:fldChar w:fldCharType="separate"/>
        </w:r>
        <w:r w:rsidR="00185D62">
          <w:rPr>
            <w:noProof/>
            <w:webHidden/>
          </w:rPr>
          <w:t>2</w:t>
        </w:r>
        <w:r w:rsidR="00DF6521">
          <w:rPr>
            <w:noProof/>
            <w:webHidden/>
          </w:rPr>
          <w:fldChar w:fldCharType="end"/>
        </w:r>
      </w:hyperlink>
    </w:p>
    <w:p w14:paraId="16A73374" w14:textId="4E03363C" w:rsidR="00DF6521" w:rsidRDefault="00DF6521">
      <w:pPr>
        <w:pStyle w:val="TOC1"/>
        <w:rPr>
          <w:rFonts w:asciiTheme="minorHAnsi" w:eastAsiaTheme="minorEastAsia" w:hAnsiTheme="minorHAnsi" w:cstheme="minorBidi"/>
          <w:noProof/>
          <w:kern w:val="2"/>
          <w14:ligatures w14:val="standardContextual"/>
        </w:rPr>
      </w:pPr>
      <w:hyperlink w:anchor="_Toc227693246" w:history="1">
        <w:r w:rsidRPr="004713D5">
          <w:rPr>
            <w:rStyle w:val="Hyperlink"/>
            <w:noProof/>
          </w:rPr>
          <w:t>Introduction</w:t>
        </w:r>
        <w:r>
          <w:rPr>
            <w:noProof/>
            <w:webHidden/>
          </w:rPr>
          <w:tab/>
        </w:r>
        <w:r>
          <w:rPr>
            <w:noProof/>
            <w:webHidden/>
          </w:rPr>
          <w:fldChar w:fldCharType="begin"/>
        </w:r>
        <w:r>
          <w:rPr>
            <w:noProof/>
            <w:webHidden/>
          </w:rPr>
          <w:instrText xml:space="preserve"> PAGEREF _Toc227693246 \h </w:instrText>
        </w:r>
        <w:r>
          <w:rPr>
            <w:noProof/>
            <w:webHidden/>
          </w:rPr>
        </w:r>
        <w:r>
          <w:rPr>
            <w:noProof/>
            <w:webHidden/>
          </w:rPr>
          <w:fldChar w:fldCharType="separate"/>
        </w:r>
        <w:r w:rsidR="00185D62">
          <w:rPr>
            <w:noProof/>
            <w:webHidden/>
          </w:rPr>
          <w:t>4</w:t>
        </w:r>
        <w:r>
          <w:rPr>
            <w:noProof/>
            <w:webHidden/>
          </w:rPr>
          <w:fldChar w:fldCharType="end"/>
        </w:r>
      </w:hyperlink>
    </w:p>
    <w:p w14:paraId="276D9C9E" w14:textId="19191802" w:rsidR="00DF6521" w:rsidRDefault="00DF6521">
      <w:pPr>
        <w:pStyle w:val="TOC1"/>
        <w:rPr>
          <w:rFonts w:asciiTheme="minorHAnsi" w:eastAsiaTheme="minorEastAsia" w:hAnsiTheme="minorHAnsi" w:cstheme="minorBidi"/>
          <w:noProof/>
          <w:kern w:val="2"/>
          <w14:ligatures w14:val="standardContextual"/>
        </w:rPr>
      </w:pPr>
      <w:hyperlink w:anchor="_Toc227693247" w:history="1">
        <w:r w:rsidRPr="004713D5">
          <w:rPr>
            <w:rStyle w:val="Hyperlink"/>
            <w:noProof/>
          </w:rPr>
          <w:t>Purpose and Scope</w:t>
        </w:r>
        <w:r>
          <w:rPr>
            <w:noProof/>
            <w:webHidden/>
          </w:rPr>
          <w:tab/>
        </w:r>
        <w:r>
          <w:rPr>
            <w:noProof/>
            <w:webHidden/>
          </w:rPr>
          <w:fldChar w:fldCharType="begin"/>
        </w:r>
        <w:r>
          <w:rPr>
            <w:noProof/>
            <w:webHidden/>
          </w:rPr>
          <w:instrText xml:space="preserve"> PAGEREF _Toc227693247 \h </w:instrText>
        </w:r>
        <w:r>
          <w:rPr>
            <w:noProof/>
            <w:webHidden/>
          </w:rPr>
        </w:r>
        <w:r>
          <w:rPr>
            <w:noProof/>
            <w:webHidden/>
          </w:rPr>
          <w:fldChar w:fldCharType="separate"/>
        </w:r>
        <w:r w:rsidR="00185D62">
          <w:rPr>
            <w:noProof/>
            <w:webHidden/>
          </w:rPr>
          <w:t>5</w:t>
        </w:r>
        <w:r>
          <w:rPr>
            <w:noProof/>
            <w:webHidden/>
          </w:rPr>
          <w:fldChar w:fldCharType="end"/>
        </w:r>
      </w:hyperlink>
    </w:p>
    <w:p w14:paraId="331E2B12" w14:textId="69F68F1F" w:rsidR="00DF6521" w:rsidRDefault="00DF6521">
      <w:pPr>
        <w:pStyle w:val="TOC1"/>
        <w:rPr>
          <w:rFonts w:asciiTheme="minorHAnsi" w:eastAsiaTheme="minorEastAsia" w:hAnsiTheme="minorHAnsi" w:cstheme="minorBidi"/>
          <w:noProof/>
          <w:kern w:val="2"/>
          <w14:ligatures w14:val="standardContextual"/>
        </w:rPr>
      </w:pPr>
      <w:hyperlink w:anchor="_Toc227693248" w:history="1">
        <w:r w:rsidRPr="004713D5">
          <w:rPr>
            <w:rStyle w:val="Hyperlink"/>
            <w:noProof/>
          </w:rPr>
          <w:t>Republic of the Marshall Islands</w:t>
        </w:r>
        <w:r>
          <w:rPr>
            <w:noProof/>
            <w:webHidden/>
          </w:rPr>
          <w:tab/>
        </w:r>
        <w:r>
          <w:rPr>
            <w:noProof/>
            <w:webHidden/>
          </w:rPr>
          <w:fldChar w:fldCharType="begin"/>
        </w:r>
        <w:r>
          <w:rPr>
            <w:noProof/>
            <w:webHidden/>
          </w:rPr>
          <w:instrText xml:space="preserve"> PAGEREF _Toc227693248 \h </w:instrText>
        </w:r>
        <w:r>
          <w:rPr>
            <w:noProof/>
            <w:webHidden/>
          </w:rPr>
        </w:r>
        <w:r>
          <w:rPr>
            <w:noProof/>
            <w:webHidden/>
          </w:rPr>
          <w:fldChar w:fldCharType="separate"/>
        </w:r>
        <w:r w:rsidR="00185D62">
          <w:rPr>
            <w:noProof/>
            <w:webHidden/>
          </w:rPr>
          <w:t>6</w:t>
        </w:r>
        <w:r>
          <w:rPr>
            <w:noProof/>
            <w:webHidden/>
          </w:rPr>
          <w:fldChar w:fldCharType="end"/>
        </w:r>
      </w:hyperlink>
    </w:p>
    <w:p w14:paraId="27672AEE" w14:textId="097F33BD" w:rsidR="00DF6521" w:rsidRDefault="00DF6521">
      <w:pPr>
        <w:pStyle w:val="TOC2"/>
        <w:rPr>
          <w:rFonts w:asciiTheme="minorHAnsi" w:eastAsiaTheme="minorEastAsia" w:hAnsiTheme="minorHAnsi" w:cstheme="minorBidi"/>
          <w:noProof/>
          <w:kern w:val="2"/>
          <w14:ligatures w14:val="standardContextual"/>
        </w:rPr>
      </w:pPr>
      <w:hyperlink w:anchor="_Toc227693249" w:history="1">
        <w:r w:rsidRPr="004713D5">
          <w:rPr>
            <w:rStyle w:val="Hyperlink"/>
            <w:noProof/>
          </w:rPr>
          <w:t>Majuro Atoll</w:t>
        </w:r>
        <w:r>
          <w:rPr>
            <w:noProof/>
            <w:webHidden/>
          </w:rPr>
          <w:tab/>
        </w:r>
        <w:r>
          <w:rPr>
            <w:noProof/>
            <w:webHidden/>
          </w:rPr>
          <w:fldChar w:fldCharType="begin"/>
        </w:r>
        <w:r>
          <w:rPr>
            <w:noProof/>
            <w:webHidden/>
          </w:rPr>
          <w:instrText xml:space="preserve"> PAGEREF _Toc227693249 \h </w:instrText>
        </w:r>
        <w:r>
          <w:rPr>
            <w:noProof/>
            <w:webHidden/>
          </w:rPr>
        </w:r>
        <w:r>
          <w:rPr>
            <w:noProof/>
            <w:webHidden/>
          </w:rPr>
          <w:fldChar w:fldCharType="separate"/>
        </w:r>
        <w:r w:rsidR="00185D62">
          <w:rPr>
            <w:noProof/>
            <w:webHidden/>
          </w:rPr>
          <w:t>9</w:t>
        </w:r>
        <w:r>
          <w:rPr>
            <w:noProof/>
            <w:webHidden/>
          </w:rPr>
          <w:fldChar w:fldCharType="end"/>
        </w:r>
      </w:hyperlink>
    </w:p>
    <w:p w14:paraId="3BE6BAB0" w14:textId="4F1EB3D9" w:rsidR="00DF6521" w:rsidRDefault="00DF6521">
      <w:pPr>
        <w:pStyle w:val="TOC3"/>
        <w:rPr>
          <w:rFonts w:asciiTheme="minorHAnsi" w:eastAsiaTheme="minorEastAsia" w:hAnsiTheme="minorHAnsi" w:cstheme="minorBidi"/>
          <w:noProof/>
          <w:kern w:val="2"/>
          <w14:ligatures w14:val="standardContextual"/>
        </w:rPr>
      </w:pPr>
      <w:hyperlink w:anchor="_Toc227693250" w:history="1">
        <w:r w:rsidRPr="004713D5">
          <w:rPr>
            <w:rStyle w:val="Hyperlink"/>
            <w:noProof/>
          </w:rPr>
          <w:t>Precipitation</w:t>
        </w:r>
        <w:r>
          <w:rPr>
            <w:noProof/>
            <w:webHidden/>
          </w:rPr>
          <w:tab/>
        </w:r>
        <w:r>
          <w:rPr>
            <w:noProof/>
            <w:webHidden/>
          </w:rPr>
          <w:fldChar w:fldCharType="begin"/>
        </w:r>
        <w:r>
          <w:rPr>
            <w:noProof/>
            <w:webHidden/>
          </w:rPr>
          <w:instrText xml:space="preserve"> PAGEREF _Toc227693250 \h </w:instrText>
        </w:r>
        <w:r>
          <w:rPr>
            <w:noProof/>
            <w:webHidden/>
          </w:rPr>
        </w:r>
        <w:r>
          <w:rPr>
            <w:noProof/>
            <w:webHidden/>
          </w:rPr>
          <w:fldChar w:fldCharType="separate"/>
        </w:r>
        <w:r w:rsidR="00185D62">
          <w:rPr>
            <w:noProof/>
            <w:webHidden/>
          </w:rPr>
          <w:t>11</w:t>
        </w:r>
        <w:r>
          <w:rPr>
            <w:noProof/>
            <w:webHidden/>
          </w:rPr>
          <w:fldChar w:fldCharType="end"/>
        </w:r>
      </w:hyperlink>
    </w:p>
    <w:p w14:paraId="1D94BDB1" w14:textId="721C2411" w:rsidR="00DF6521" w:rsidRDefault="00DF6521">
      <w:pPr>
        <w:pStyle w:val="TOC3"/>
        <w:rPr>
          <w:rFonts w:asciiTheme="minorHAnsi" w:eastAsiaTheme="minorEastAsia" w:hAnsiTheme="minorHAnsi" w:cstheme="minorBidi"/>
          <w:noProof/>
          <w:kern w:val="2"/>
          <w14:ligatures w14:val="standardContextual"/>
        </w:rPr>
      </w:pPr>
      <w:hyperlink w:anchor="_Toc227693251" w:history="1">
        <w:r w:rsidRPr="004713D5">
          <w:rPr>
            <w:rStyle w:val="Hyperlink"/>
            <w:noProof/>
          </w:rPr>
          <w:t>Evapotranspiration</w:t>
        </w:r>
        <w:r>
          <w:rPr>
            <w:noProof/>
            <w:webHidden/>
          </w:rPr>
          <w:tab/>
        </w:r>
        <w:r>
          <w:rPr>
            <w:noProof/>
            <w:webHidden/>
          </w:rPr>
          <w:fldChar w:fldCharType="begin"/>
        </w:r>
        <w:r>
          <w:rPr>
            <w:noProof/>
            <w:webHidden/>
          </w:rPr>
          <w:instrText xml:space="preserve"> PAGEREF _Toc227693251 \h </w:instrText>
        </w:r>
        <w:r>
          <w:rPr>
            <w:noProof/>
            <w:webHidden/>
          </w:rPr>
        </w:r>
        <w:r>
          <w:rPr>
            <w:noProof/>
            <w:webHidden/>
          </w:rPr>
          <w:fldChar w:fldCharType="separate"/>
        </w:r>
        <w:r w:rsidR="00185D62">
          <w:rPr>
            <w:noProof/>
            <w:webHidden/>
          </w:rPr>
          <w:t>15</w:t>
        </w:r>
        <w:r>
          <w:rPr>
            <w:noProof/>
            <w:webHidden/>
          </w:rPr>
          <w:fldChar w:fldCharType="end"/>
        </w:r>
      </w:hyperlink>
    </w:p>
    <w:p w14:paraId="6E3DFB47" w14:textId="66F2C35E" w:rsidR="00DF6521" w:rsidRDefault="00DF6521">
      <w:pPr>
        <w:pStyle w:val="TOC3"/>
        <w:rPr>
          <w:rFonts w:asciiTheme="minorHAnsi" w:eastAsiaTheme="minorEastAsia" w:hAnsiTheme="minorHAnsi" w:cstheme="minorBidi"/>
          <w:noProof/>
          <w:kern w:val="2"/>
          <w14:ligatures w14:val="standardContextual"/>
        </w:rPr>
      </w:pPr>
      <w:hyperlink w:anchor="_Toc227693252" w:history="1">
        <w:r w:rsidRPr="004713D5">
          <w:rPr>
            <w:rStyle w:val="Hyperlink"/>
            <w:noProof/>
          </w:rPr>
          <w:t>Water Balance</w:t>
        </w:r>
        <w:r>
          <w:rPr>
            <w:noProof/>
            <w:webHidden/>
          </w:rPr>
          <w:tab/>
        </w:r>
        <w:r>
          <w:rPr>
            <w:noProof/>
            <w:webHidden/>
          </w:rPr>
          <w:fldChar w:fldCharType="begin"/>
        </w:r>
        <w:r>
          <w:rPr>
            <w:noProof/>
            <w:webHidden/>
          </w:rPr>
          <w:instrText xml:space="preserve"> PAGEREF _Toc227693252 \h </w:instrText>
        </w:r>
        <w:r>
          <w:rPr>
            <w:noProof/>
            <w:webHidden/>
          </w:rPr>
        </w:r>
        <w:r>
          <w:rPr>
            <w:noProof/>
            <w:webHidden/>
          </w:rPr>
          <w:fldChar w:fldCharType="separate"/>
        </w:r>
        <w:r w:rsidR="00185D62">
          <w:rPr>
            <w:noProof/>
            <w:webHidden/>
          </w:rPr>
          <w:t>19</w:t>
        </w:r>
        <w:r>
          <w:rPr>
            <w:noProof/>
            <w:webHidden/>
          </w:rPr>
          <w:fldChar w:fldCharType="end"/>
        </w:r>
      </w:hyperlink>
    </w:p>
    <w:p w14:paraId="5ADDB3AD" w14:textId="0EC52BE0" w:rsidR="00DF6521" w:rsidRDefault="00DF6521">
      <w:pPr>
        <w:pStyle w:val="TOC3"/>
        <w:rPr>
          <w:rFonts w:asciiTheme="minorHAnsi" w:eastAsiaTheme="minorEastAsia" w:hAnsiTheme="minorHAnsi" w:cstheme="minorBidi"/>
          <w:noProof/>
          <w:kern w:val="2"/>
          <w14:ligatures w14:val="standardContextual"/>
        </w:rPr>
      </w:pPr>
      <w:hyperlink w:anchor="_Toc227693253" w:history="1">
        <w:r w:rsidRPr="004713D5">
          <w:rPr>
            <w:rStyle w:val="Hyperlink"/>
            <w:noProof/>
          </w:rPr>
          <w:t>Drought Monitoring</w:t>
        </w:r>
        <w:r>
          <w:rPr>
            <w:noProof/>
            <w:webHidden/>
          </w:rPr>
          <w:tab/>
        </w:r>
        <w:r>
          <w:rPr>
            <w:noProof/>
            <w:webHidden/>
          </w:rPr>
          <w:fldChar w:fldCharType="begin"/>
        </w:r>
        <w:r>
          <w:rPr>
            <w:noProof/>
            <w:webHidden/>
          </w:rPr>
          <w:instrText xml:space="preserve"> PAGEREF _Toc227693253 \h </w:instrText>
        </w:r>
        <w:r>
          <w:rPr>
            <w:noProof/>
            <w:webHidden/>
          </w:rPr>
        </w:r>
        <w:r>
          <w:rPr>
            <w:noProof/>
            <w:webHidden/>
          </w:rPr>
          <w:fldChar w:fldCharType="separate"/>
        </w:r>
        <w:r w:rsidR="00185D62">
          <w:rPr>
            <w:noProof/>
            <w:webHidden/>
          </w:rPr>
          <w:t>21</w:t>
        </w:r>
        <w:r>
          <w:rPr>
            <w:noProof/>
            <w:webHidden/>
          </w:rPr>
          <w:fldChar w:fldCharType="end"/>
        </w:r>
      </w:hyperlink>
    </w:p>
    <w:p w14:paraId="0642C872" w14:textId="5688682F" w:rsidR="00DF6521" w:rsidRDefault="00DF6521">
      <w:pPr>
        <w:pStyle w:val="TOC3"/>
        <w:rPr>
          <w:rFonts w:asciiTheme="minorHAnsi" w:eastAsiaTheme="minorEastAsia" w:hAnsiTheme="minorHAnsi" w:cstheme="minorBidi"/>
          <w:noProof/>
          <w:kern w:val="2"/>
          <w14:ligatures w14:val="standardContextual"/>
        </w:rPr>
      </w:pPr>
      <w:hyperlink w:anchor="_Toc227693254" w:history="1">
        <w:r w:rsidRPr="004713D5">
          <w:rPr>
            <w:rStyle w:val="Hyperlink"/>
            <w:noProof/>
          </w:rPr>
          <w:t>Automated 7-Day Precipitation Forecasting</w:t>
        </w:r>
        <w:r>
          <w:rPr>
            <w:noProof/>
            <w:webHidden/>
          </w:rPr>
          <w:tab/>
        </w:r>
        <w:r>
          <w:rPr>
            <w:noProof/>
            <w:webHidden/>
          </w:rPr>
          <w:fldChar w:fldCharType="begin"/>
        </w:r>
        <w:r>
          <w:rPr>
            <w:noProof/>
            <w:webHidden/>
          </w:rPr>
          <w:instrText xml:space="preserve"> PAGEREF _Toc227693254 \h </w:instrText>
        </w:r>
        <w:r>
          <w:rPr>
            <w:noProof/>
            <w:webHidden/>
          </w:rPr>
        </w:r>
        <w:r>
          <w:rPr>
            <w:noProof/>
            <w:webHidden/>
          </w:rPr>
          <w:fldChar w:fldCharType="separate"/>
        </w:r>
        <w:r w:rsidR="00185D62">
          <w:rPr>
            <w:noProof/>
            <w:webHidden/>
          </w:rPr>
          <w:t>27</w:t>
        </w:r>
        <w:r>
          <w:rPr>
            <w:noProof/>
            <w:webHidden/>
          </w:rPr>
          <w:fldChar w:fldCharType="end"/>
        </w:r>
      </w:hyperlink>
    </w:p>
    <w:p w14:paraId="4B1073A9" w14:textId="491436C0" w:rsidR="00DF6521" w:rsidRDefault="00DF6521">
      <w:pPr>
        <w:pStyle w:val="TOC3"/>
        <w:rPr>
          <w:rFonts w:asciiTheme="minorHAnsi" w:eastAsiaTheme="minorEastAsia" w:hAnsiTheme="minorHAnsi" w:cstheme="minorBidi"/>
          <w:noProof/>
          <w:kern w:val="2"/>
          <w14:ligatures w14:val="standardContextual"/>
        </w:rPr>
      </w:pPr>
      <w:hyperlink w:anchor="_Toc227693255" w:history="1">
        <w:r w:rsidRPr="004713D5">
          <w:rPr>
            <w:rStyle w:val="Hyperlink"/>
            <w:noProof/>
          </w:rPr>
          <w:t>Seismicity</w:t>
        </w:r>
        <w:r>
          <w:rPr>
            <w:noProof/>
            <w:webHidden/>
          </w:rPr>
          <w:tab/>
        </w:r>
        <w:r>
          <w:rPr>
            <w:noProof/>
            <w:webHidden/>
          </w:rPr>
          <w:fldChar w:fldCharType="begin"/>
        </w:r>
        <w:r>
          <w:rPr>
            <w:noProof/>
            <w:webHidden/>
          </w:rPr>
          <w:instrText xml:space="preserve"> PAGEREF _Toc227693255 \h </w:instrText>
        </w:r>
        <w:r>
          <w:rPr>
            <w:noProof/>
            <w:webHidden/>
          </w:rPr>
        </w:r>
        <w:r>
          <w:rPr>
            <w:noProof/>
            <w:webHidden/>
          </w:rPr>
          <w:fldChar w:fldCharType="separate"/>
        </w:r>
        <w:r w:rsidR="00185D62">
          <w:rPr>
            <w:noProof/>
            <w:webHidden/>
          </w:rPr>
          <w:t>31</w:t>
        </w:r>
        <w:r>
          <w:rPr>
            <w:noProof/>
            <w:webHidden/>
          </w:rPr>
          <w:fldChar w:fldCharType="end"/>
        </w:r>
      </w:hyperlink>
    </w:p>
    <w:p w14:paraId="513207B7" w14:textId="639B6C73" w:rsidR="00DF6521" w:rsidRDefault="00DF6521">
      <w:pPr>
        <w:pStyle w:val="TOC1"/>
        <w:rPr>
          <w:rFonts w:asciiTheme="minorHAnsi" w:eastAsiaTheme="minorEastAsia" w:hAnsiTheme="minorHAnsi" w:cstheme="minorBidi"/>
          <w:noProof/>
          <w:kern w:val="2"/>
          <w14:ligatures w14:val="standardContextual"/>
        </w:rPr>
      </w:pPr>
      <w:hyperlink w:anchor="_Toc227693256" w:history="1">
        <w:r w:rsidRPr="004713D5">
          <w:rPr>
            <w:rStyle w:val="Hyperlink"/>
            <w:noProof/>
          </w:rPr>
          <w:t>Discussion</w:t>
        </w:r>
        <w:r>
          <w:rPr>
            <w:noProof/>
            <w:webHidden/>
          </w:rPr>
          <w:tab/>
        </w:r>
        <w:r>
          <w:rPr>
            <w:noProof/>
            <w:webHidden/>
          </w:rPr>
          <w:fldChar w:fldCharType="begin"/>
        </w:r>
        <w:r>
          <w:rPr>
            <w:noProof/>
            <w:webHidden/>
          </w:rPr>
          <w:instrText xml:space="preserve"> PAGEREF _Toc227693256 \h </w:instrText>
        </w:r>
        <w:r>
          <w:rPr>
            <w:noProof/>
            <w:webHidden/>
          </w:rPr>
        </w:r>
        <w:r>
          <w:rPr>
            <w:noProof/>
            <w:webHidden/>
          </w:rPr>
          <w:fldChar w:fldCharType="separate"/>
        </w:r>
        <w:r w:rsidR="00185D62">
          <w:rPr>
            <w:noProof/>
            <w:webHidden/>
          </w:rPr>
          <w:t>32</w:t>
        </w:r>
        <w:r>
          <w:rPr>
            <w:noProof/>
            <w:webHidden/>
          </w:rPr>
          <w:fldChar w:fldCharType="end"/>
        </w:r>
      </w:hyperlink>
    </w:p>
    <w:p w14:paraId="075ED1D9" w14:textId="0D84C3E0" w:rsidR="00DF6521" w:rsidRDefault="00DF6521">
      <w:pPr>
        <w:pStyle w:val="TOC1"/>
        <w:rPr>
          <w:rFonts w:asciiTheme="minorHAnsi" w:eastAsiaTheme="minorEastAsia" w:hAnsiTheme="minorHAnsi" w:cstheme="minorBidi"/>
          <w:noProof/>
          <w:kern w:val="2"/>
          <w14:ligatures w14:val="standardContextual"/>
        </w:rPr>
      </w:pPr>
      <w:hyperlink w:anchor="_Toc227693257" w:history="1">
        <w:r w:rsidRPr="004713D5">
          <w:rPr>
            <w:rStyle w:val="Hyperlink"/>
            <w:noProof/>
          </w:rPr>
          <w:t>Conclusion</w:t>
        </w:r>
        <w:r>
          <w:rPr>
            <w:noProof/>
            <w:webHidden/>
          </w:rPr>
          <w:tab/>
        </w:r>
        <w:r>
          <w:rPr>
            <w:noProof/>
            <w:webHidden/>
          </w:rPr>
          <w:fldChar w:fldCharType="begin"/>
        </w:r>
        <w:r>
          <w:rPr>
            <w:noProof/>
            <w:webHidden/>
          </w:rPr>
          <w:instrText xml:space="preserve"> PAGEREF _Toc227693257 \h </w:instrText>
        </w:r>
        <w:r>
          <w:rPr>
            <w:noProof/>
            <w:webHidden/>
          </w:rPr>
        </w:r>
        <w:r>
          <w:rPr>
            <w:noProof/>
            <w:webHidden/>
          </w:rPr>
          <w:fldChar w:fldCharType="separate"/>
        </w:r>
        <w:r w:rsidR="00185D62">
          <w:rPr>
            <w:noProof/>
            <w:webHidden/>
          </w:rPr>
          <w:t>34</w:t>
        </w:r>
        <w:r>
          <w:rPr>
            <w:noProof/>
            <w:webHidden/>
          </w:rPr>
          <w:fldChar w:fldCharType="end"/>
        </w:r>
      </w:hyperlink>
    </w:p>
    <w:p w14:paraId="5BA5278E" w14:textId="4E99A649" w:rsidR="00DF6521" w:rsidRDefault="00DF6521">
      <w:pPr>
        <w:pStyle w:val="TOC1"/>
        <w:rPr>
          <w:rFonts w:asciiTheme="minorHAnsi" w:eastAsiaTheme="minorEastAsia" w:hAnsiTheme="minorHAnsi" w:cstheme="minorBidi"/>
          <w:noProof/>
          <w:kern w:val="2"/>
          <w14:ligatures w14:val="standardContextual"/>
        </w:rPr>
      </w:pPr>
      <w:hyperlink w:anchor="_Toc227693258" w:history="1">
        <w:r w:rsidRPr="004713D5">
          <w:rPr>
            <w:rStyle w:val="Hyperlink"/>
            <w:noProof/>
          </w:rPr>
          <w:t>References Cited</w:t>
        </w:r>
        <w:r>
          <w:rPr>
            <w:noProof/>
            <w:webHidden/>
          </w:rPr>
          <w:tab/>
        </w:r>
        <w:r>
          <w:rPr>
            <w:noProof/>
            <w:webHidden/>
          </w:rPr>
          <w:fldChar w:fldCharType="begin"/>
        </w:r>
        <w:r>
          <w:rPr>
            <w:noProof/>
            <w:webHidden/>
          </w:rPr>
          <w:instrText xml:space="preserve"> PAGEREF _Toc227693258 \h </w:instrText>
        </w:r>
        <w:r>
          <w:rPr>
            <w:noProof/>
            <w:webHidden/>
          </w:rPr>
        </w:r>
        <w:r>
          <w:rPr>
            <w:noProof/>
            <w:webHidden/>
          </w:rPr>
          <w:fldChar w:fldCharType="separate"/>
        </w:r>
        <w:r w:rsidR="00185D62">
          <w:rPr>
            <w:noProof/>
            <w:webHidden/>
          </w:rPr>
          <w:t>35</w:t>
        </w:r>
        <w:r>
          <w:rPr>
            <w:noProof/>
            <w:webHidden/>
          </w:rPr>
          <w:fldChar w:fldCharType="end"/>
        </w:r>
      </w:hyperlink>
    </w:p>
    <w:p w14:paraId="662DFC9A" w14:textId="69EB557D" w:rsidR="00203691" w:rsidRDefault="00780032" w:rsidP="00203691">
      <w:pPr>
        <w:pStyle w:val="TOC1"/>
      </w:pPr>
      <w:r>
        <w:rPr>
          <w:color w:val="2B579A"/>
          <w:shd w:val="clear" w:color="auto" w:fill="E6E6E6"/>
        </w:rPr>
        <w:fldChar w:fldCharType="end"/>
      </w:r>
    </w:p>
    <w:p w14:paraId="0D409EF4" w14:textId="77777777" w:rsidR="00203691" w:rsidRDefault="00203691" w:rsidP="00203691">
      <w:pPr>
        <w:pStyle w:val="TOCHeading2"/>
      </w:pPr>
      <w:bookmarkStart w:id="14" w:name="_Toc507583976"/>
      <w:bookmarkStart w:id="15" w:name="_Toc507584030"/>
      <w:r>
        <w:t>Figures</w:t>
      </w:r>
    </w:p>
    <w:p w14:paraId="6014BE83" w14:textId="77777777" w:rsidR="00185D62" w:rsidRDefault="00203691">
      <w:pPr>
        <w:pStyle w:val="TableofFigures"/>
        <w:tabs>
          <w:tab w:val="right" w:leader="dot" w:pos="9350"/>
        </w:tabs>
        <w:rPr>
          <w:rFonts w:asciiTheme="minorHAnsi" w:eastAsiaTheme="minorEastAsia" w:hAnsiTheme="minorHAnsi" w:cstheme="minorBidi"/>
          <w:noProof/>
          <w:kern w:val="2"/>
          <w14:ligatures w14:val="standardContextual"/>
        </w:rPr>
      </w:pPr>
      <w:r>
        <w:rPr>
          <w:color w:val="2B579A"/>
          <w:shd w:val="clear" w:color="auto" w:fill="E6E6E6"/>
        </w:rPr>
        <w:fldChar w:fldCharType="begin"/>
      </w:r>
      <w:r>
        <w:instrText xml:space="preserve"> TOC \n \h \z \t "FigureCaption,1" \c "Figure" </w:instrText>
      </w:r>
      <w:r>
        <w:rPr>
          <w:color w:val="2B579A"/>
          <w:shd w:val="clear" w:color="auto" w:fill="E6E6E6"/>
        </w:rPr>
        <w:fldChar w:fldCharType="separate"/>
      </w:r>
      <w:hyperlink w:anchor="_Toc228286440" w:history="1">
        <w:r w:rsidR="00185D62" w:rsidRPr="0052150F">
          <w:rPr>
            <w:rStyle w:val="Hyperlink"/>
            <w:noProof/>
          </w:rPr>
          <w:t>Figure 1. Map of Western Pacific Ocean Island Nations. The Geographic Coordinate System is WGS84. Sources: Esri, TomTom, FAO, NOAA, USGS.</w:t>
        </w:r>
      </w:hyperlink>
    </w:p>
    <w:p w14:paraId="16DD9AAF"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1" w:history="1">
        <w:r w:rsidRPr="0052150F">
          <w:rPr>
            <w:rStyle w:val="Hyperlink"/>
            <w:noProof/>
          </w:rPr>
          <w:t>Figure 2. Map of Republic of the Marshall Islands. The Geographic Coordinate System is WGS84. Sources: Esri, TomTom, FAO, NOAA, USGS.</w:t>
        </w:r>
      </w:hyperlink>
    </w:p>
    <w:p w14:paraId="4E83DF0D"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2" w:history="1">
        <w:r w:rsidRPr="0052150F">
          <w:rPr>
            <w:rStyle w:val="Hyperlink"/>
            <w:noProof/>
          </w:rPr>
          <w:t>Figure 3. Map of the Majuro Atoll. The Geographic Coordinate System is WGS84. Sources: Esri, TomTom, FAO, NOAA, USGS.</w:t>
        </w:r>
      </w:hyperlink>
    </w:p>
    <w:p w14:paraId="3410C765"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3" w:history="1">
        <w:r w:rsidRPr="0052150F">
          <w:rPr>
            <w:rStyle w:val="Hyperlink"/>
            <w:noProof/>
          </w:rPr>
          <w:t>Figure 4. Mean annual precipitation from 2015 - 2024 from IMERG Final Run dataset, displaying lower values in light blue and higher values dark blue.</w:t>
        </w:r>
      </w:hyperlink>
    </w:p>
    <w:p w14:paraId="02BE4716"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4" w:history="1">
        <w:r w:rsidRPr="0052150F">
          <w:rPr>
            <w:rStyle w:val="Hyperlink"/>
            <w:noProof/>
          </w:rPr>
          <w:t>Figure 5. Monthly precipitation for years 1998 - 2025 in mm.</w:t>
        </w:r>
      </w:hyperlink>
    </w:p>
    <w:p w14:paraId="58B9BEDA"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5" w:history="1">
        <w:r w:rsidRPr="0052150F">
          <w:rPr>
            <w:rStyle w:val="Hyperlink"/>
            <w:noProof/>
          </w:rPr>
          <w:t>Figure 6. Annual precipitation for years 1998 - 2024 in mm.</w:t>
        </w:r>
      </w:hyperlink>
    </w:p>
    <w:p w14:paraId="68DBA350"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6" w:history="1">
        <w:r w:rsidRPr="0052150F">
          <w:rPr>
            <w:rStyle w:val="Hyperlink"/>
            <w:noProof/>
          </w:rPr>
          <w:t>Figure 7. Average monthly precipitation and actual ET in mm.</w:t>
        </w:r>
      </w:hyperlink>
    </w:p>
    <w:p w14:paraId="4D15170B"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7" w:history="1">
        <w:r w:rsidRPr="0052150F">
          <w:rPr>
            <w:rStyle w:val="Hyperlink"/>
            <w:noProof/>
          </w:rPr>
          <w:t>Figure 8. Annual actual ET for years 2013 - 2025 in mm.</w:t>
        </w:r>
      </w:hyperlink>
    </w:p>
    <w:p w14:paraId="3D21D8D0"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8" w:history="1">
        <w:r w:rsidRPr="0052150F">
          <w:rPr>
            <w:rStyle w:val="Hyperlink"/>
            <w:noProof/>
          </w:rPr>
          <w:t>Figure 9. Monthly net water availability for years 2012 - 2025 in mm.</w:t>
        </w:r>
      </w:hyperlink>
    </w:p>
    <w:p w14:paraId="568778E8"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49" w:history="1">
        <w:r w:rsidRPr="0052150F">
          <w:rPr>
            <w:rStyle w:val="Hyperlink"/>
            <w:noProof/>
          </w:rPr>
          <w:t>Figure 10. Net water availability per year in mm.</w:t>
        </w:r>
      </w:hyperlink>
    </w:p>
    <w:p w14:paraId="263631DA"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0" w:history="1">
        <w:r w:rsidRPr="0052150F">
          <w:rPr>
            <w:rStyle w:val="Hyperlink"/>
            <w:noProof/>
          </w:rPr>
          <w:t>Figure 11. Quintile-based Rainfall Index time series for Majuro showing (A) 1-month, (B) 3-month, and (C) 6-month accumulation windows. Bars represent observed precipitation (or rolling sums) color-coded by quintile category. The dashed line shows the baseline median for each calendar month.</w:t>
        </w:r>
      </w:hyperlink>
    </w:p>
    <w:p w14:paraId="08233C4F"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1" w:history="1">
        <w:r w:rsidRPr="0052150F">
          <w:rPr>
            <w:rStyle w:val="Hyperlink"/>
            <w:noProof/>
          </w:rPr>
          <w:t>Figure 12. GFS 7-day precipitation forecast bar chart for Majuro, March 10–16, 2026. Numbers above bars indicate daily accumulated precipitation in millimeters. The dashed red line indicates the 50-mm daily alert threshold.</w:t>
        </w:r>
      </w:hyperlink>
    </w:p>
    <w:p w14:paraId="3038F8D2" w14:textId="4ACD5A72" w:rsidR="00203691" w:rsidRDefault="00203691" w:rsidP="00712B5C">
      <w:pPr>
        <w:pStyle w:val="TableofFigures"/>
        <w:tabs>
          <w:tab w:val="left" w:pos="1440"/>
          <w:tab w:val="right" w:leader="dot" w:pos="9350"/>
        </w:tabs>
      </w:pPr>
      <w:r>
        <w:rPr>
          <w:color w:val="2B579A"/>
          <w:shd w:val="clear" w:color="auto" w:fill="E6E6E6"/>
        </w:rPr>
        <w:fldChar w:fldCharType="end"/>
      </w:r>
    </w:p>
    <w:p w14:paraId="35ED9C39" w14:textId="77777777" w:rsidR="00185D62" w:rsidRDefault="00203691" w:rsidP="00203691">
      <w:pPr>
        <w:pStyle w:val="TOCHeading2"/>
        <w:rPr>
          <w:noProof/>
        </w:rPr>
      </w:pPr>
      <w:r>
        <w:t>Tables</w:t>
      </w:r>
      <w:r>
        <w:rPr>
          <w:color w:val="2B579A"/>
          <w:shd w:val="clear" w:color="auto" w:fill="E6E6E6"/>
        </w:rPr>
        <w:fldChar w:fldCharType="begin"/>
      </w:r>
      <w:r>
        <w:instrText xml:space="preserve"> TOC \f T \n \h \z \t "TableTitle" \c "Table" </w:instrText>
      </w:r>
      <w:r>
        <w:rPr>
          <w:color w:val="2B579A"/>
          <w:shd w:val="clear" w:color="auto" w:fill="E6E6E6"/>
        </w:rPr>
        <w:fldChar w:fldCharType="separate"/>
      </w:r>
    </w:p>
    <w:p w14:paraId="778F0E38"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2" w:history="1">
        <w:r w:rsidRPr="004036F6">
          <w:rPr>
            <w:rStyle w:val="Hyperlink"/>
            <w:noProof/>
          </w:rPr>
          <w:t>International System of Units to U.S. customary units</w:t>
        </w:r>
      </w:hyperlink>
    </w:p>
    <w:p w14:paraId="4621808A"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3" w:history="1">
        <w:r w:rsidRPr="004036F6">
          <w:rPr>
            <w:rStyle w:val="Hyperlink"/>
            <w:noProof/>
          </w:rPr>
          <w:t>Table 1. Mean IMERG Precipitation Statistics (1998–2024) for Majuro Atoll</w:t>
        </w:r>
      </w:hyperlink>
    </w:p>
    <w:p w14:paraId="0E4D1443"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4" w:history="1">
        <w:r w:rsidRPr="004036F6">
          <w:rPr>
            <w:rStyle w:val="Hyperlink"/>
            <w:noProof/>
          </w:rPr>
          <w:t>Table 2. Summary of notable drought episodes at Majuro, defined as three or more consecutive months classified as Drier or Dry at the 1-month Rainfall Index.</w:t>
        </w:r>
      </w:hyperlink>
    </w:p>
    <w:p w14:paraId="3E0F17EB"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5" w:history="1">
        <w:r w:rsidRPr="004036F6">
          <w:rPr>
            <w:rStyle w:val="Hyperlink"/>
            <w:noProof/>
          </w:rPr>
          <w:t>Table 3. PEAC 4/8-inch index frequency at Majuro, January 2000 through February 2026.</w:t>
        </w:r>
      </w:hyperlink>
    </w:p>
    <w:p w14:paraId="64157A72"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6" w:history="1">
        <w:r w:rsidRPr="004036F6">
          <w:rPr>
            <w:rStyle w:val="Hyperlink"/>
            <w:noProof/>
          </w:rPr>
          <w:t>Table 4. Quintile-based Rainfall Index category frequency (number of months) by accumulation window at Majuro, January 2000 through February 2026.</w:t>
        </w:r>
      </w:hyperlink>
    </w:p>
    <w:p w14:paraId="27074CB8"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7" w:history="1">
        <w:r w:rsidRPr="004036F6">
          <w:rPr>
            <w:rStyle w:val="Hyperlink"/>
            <w:noProof/>
          </w:rPr>
          <w:t>Table 5. Alert thresholds applied to GFS precipitation forecasts.</w:t>
        </w:r>
      </w:hyperlink>
    </w:p>
    <w:p w14:paraId="5E16F87F" w14:textId="77777777" w:rsidR="00185D62" w:rsidRDefault="00185D62">
      <w:pPr>
        <w:pStyle w:val="TableofFigures"/>
        <w:tabs>
          <w:tab w:val="right" w:leader="dot" w:pos="9350"/>
        </w:tabs>
        <w:rPr>
          <w:rFonts w:asciiTheme="minorHAnsi" w:eastAsiaTheme="minorEastAsia" w:hAnsiTheme="minorHAnsi" w:cstheme="minorBidi"/>
          <w:noProof/>
          <w:kern w:val="2"/>
          <w14:ligatures w14:val="standardContextual"/>
        </w:rPr>
      </w:pPr>
      <w:hyperlink w:anchor="_Toc228286458" w:history="1">
        <w:r w:rsidRPr="004036F6">
          <w:rPr>
            <w:rStyle w:val="Hyperlink"/>
            <w:noProof/>
          </w:rPr>
          <w:t>Table 6. GFS 7-day precipitation forecast (mm) for Majuro, March 10–16, 2026. GFS model run 20260310, 12z cycle. No alert thresholds were exceeded.</w:t>
        </w:r>
      </w:hyperlink>
    </w:p>
    <w:p w14:paraId="476AB0B3" w14:textId="1FB85098" w:rsidR="00CF2BEF" w:rsidRDefault="00203691" w:rsidP="00CF2BEF">
      <w:pPr>
        <w:pStyle w:val="FrontMatterHead"/>
      </w:pPr>
      <w:r>
        <w:rPr>
          <w:color w:val="2B579A"/>
          <w:shd w:val="clear" w:color="auto" w:fill="E6E6E6"/>
        </w:rPr>
        <w:fldChar w:fldCharType="end"/>
      </w:r>
      <w:bookmarkStart w:id="16" w:name="_Toc507583980"/>
      <w:bookmarkStart w:id="17" w:name="_Toc507584034"/>
      <w:r w:rsidR="00CF2BEF" w:rsidRPr="00CF2BEF">
        <w:t xml:space="preserve"> </w:t>
      </w:r>
      <w:r w:rsidR="00CF2BEF">
        <w:t>Conversion Factors</w:t>
      </w:r>
    </w:p>
    <w:p w14:paraId="6309B092" w14:textId="77777777" w:rsidR="00CF2BEF" w:rsidRDefault="00CF2BEF" w:rsidP="00CF2BEF">
      <w:pPr>
        <w:pStyle w:val="TableTitle"/>
      </w:pPr>
      <w:bookmarkStart w:id="18" w:name="_Toc507583978"/>
      <w:bookmarkStart w:id="19" w:name="_Toc507584032"/>
      <w:bookmarkStart w:id="20" w:name="_Toc20723230"/>
      <w:bookmarkStart w:id="21" w:name="_Toc226927393"/>
      <w:bookmarkStart w:id="22" w:name="_Toc226968175"/>
      <w:bookmarkStart w:id="23" w:name="_Toc228286452"/>
      <w:r>
        <w:t>International System of Units to U.S. customary units</w:t>
      </w:r>
      <w:bookmarkEnd w:id="18"/>
      <w:bookmarkEnd w:id="19"/>
      <w:bookmarkEnd w:id="20"/>
      <w:bookmarkEnd w:id="21"/>
      <w:bookmarkEnd w:id="22"/>
      <w:bookmarkEnd w:id="23"/>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CF2BEF" w:rsidRPr="00BA340B" w14:paraId="0347F3FD" w14:textId="77777777" w:rsidTr="006A178A">
        <w:trPr>
          <w:cantSplit/>
          <w:tblHeader/>
        </w:trPr>
        <w:tc>
          <w:tcPr>
            <w:tcW w:w="2558" w:type="dxa"/>
            <w:tcBorders>
              <w:bottom w:val="single" w:sz="4" w:space="0" w:color="auto"/>
              <w:tl2br w:val="nil"/>
            </w:tcBorders>
            <w:vAlign w:val="center"/>
          </w:tcPr>
          <w:p w14:paraId="05C7C050" w14:textId="77777777" w:rsidR="00CF2BEF" w:rsidRPr="00BA340B" w:rsidRDefault="00CF2BEF" w:rsidP="006A178A">
            <w:pPr>
              <w:pStyle w:val="TableHead"/>
            </w:pPr>
            <w:r w:rsidRPr="00BA340B">
              <w:t>Multiply</w:t>
            </w:r>
          </w:p>
        </w:tc>
        <w:tc>
          <w:tcPr>
            <w:tcW w:w="2558" w:type="dxa"/>
            <w:tcBorders>
              <w:bottom w:val="single" w:sz="4" w:space="0" w:color="auto"/>
              <w:tl2br w:val="nil"/>
            </w:tcBorders>
            <w:vAlign w:val="center"/>
          </w:tcPr>
          <w:p w14:paraId="5B29666C" w14:textId="77777777" w:rsidR="00CF2BEF" w:rsidRPr="00BA340B" w:rsidRDefault="00CF2BEF" w:rsidP="006A178A">
            <w:pPr>
              <w:pStyle w:val="TableHead"/>
              <w:tabs>
                <w:tab w:val="decimal" w:pos="495"/>
              </w:tabs>
            </w:pPr>
            <w:r w:rsidRPr="00BA340B">
              <w:t>By</w:t>
            </w:r>
          </w:p>
        </w:tc>
        <w:tc>
          <w:tcPr>
            <w:tcW w:w="2559" w:type="dxa"/>
            <w:tcBorders>
              <w:bottom w:val="single" w:sz="4" w:space="0" w:color="auto"/>
              <w:tl2br w:val="nil"/>
            </w:tcBorders>
            <w:vAlign w:val="center"/>
          </w:tcPr>
          <w:p w14:paraId="5E4B2143" w14:textId="77777777" w:rsidR="00CF2BEF" w:rsidRPr="00BA340B" w:rsidRDefault="00CF2BEF" w:rsidP="006A178A">
            <w:pPr>
              <w:pStyle w:val="TableHead"/>
            </w:pPr>
            <w:r w:rsidRPr="00BA340B">
              <w:t>To obtain</w:t>
            </w:r>
          </w:p>
        </w:tc>
      </w:tr>
      <w:tr w:rsidR="00CF2BEF" w:rsidRPr="00BA340B" w14:paraId="00DF228E" w14:textId="77777777" w:rsidTr="006A178A">
        <w:trPr>
          <w:cantSplit/>
        </w:trPr>
        <w:tc>
          <w:tcPr>
            <w:tcW w:w="7675" w:type="dxa"/>
            <w:gridSpan w:val="3"/>
            <w:tcBorders>
              <w:top w:val="single" w:sz="4" w:space="0" w:color="auto"/>
              <w:bottom w:val="single" w:sz="4" w:space="0" w:color="auto"/>
            </w:tcBorders>
            <w:vAlign w:val="center"/>
          </w:tcPr>
          <w:p w14:paraId="7A67F2EB" w14:textId="77777777" w:rsidR="00CF2BEF" w:rsidRPr="002E2E3D" w:rsidRDefault="00CF2BEF" w:rsidP="006A178A">
            <w:pPr>
              <w:pStyle w:val="TableSpanner"/>
              <w:tabs>
                <w:tab w:val="decimal" w:pos="495"/>
              </w:tabs>
            </w:pPr>
            <w:r w:rsidRPr="002E2E3D">
              <w:t>Length</w:t>
            </w:r>
          </w:p>
        </w:tc>
      </w:tr>
      <w:tr w:rsidR="00CF2BEF" w:rsidRPr="00BA340B" w14:paraId="30958725" w14:textId="77777777" w:rsidTr="006A178A">
        <w:trPr>
          <w:cantSplit/>
        </w:trPr>
        <w:tc>
          <w:tcPr>
            <w:tcW w:w="2558" w:type="dxa"/>
            <w:tcBorders>
              <w:top w:val="nil"/>
              <w:bottom w:val="nil"/>
            </w:tcBorders>
          </w:tcPr>
          <w:p w14:paraId="0B3D4B79" w14:textId="77777777" w:rsidR="00CF2BEF" w:rsidRPr="00BA340B" w:rsidRDefault="00CF2BEF" w:rsidP="006A178A">
            <w:pPr>
              <w:pStyle w:val="TableBody"/>
            </w:pPr>
            <w:proofErr w:type="gramStart"/>
            <w:r w:rsidRPr="00BA340B">
              <w:t>millimeter</w:t>
            </w:r>
            <w:proofErr w:type="gramEnd"/>
            <w:r w:rsidRPr="00BA340B">
              <w:t xml:space="preserve"> (mm)</w:t>
            </w:r>
          </w:p>
        </w:tc>
        <w:tc>
          <w:tcPr>
            <w:tcW w:w="2558" w:type="dxa"/>
            <w:tcBorders>
              <w:top w:val="nil"/>
              <w:bottom w:val="nil"/>
            </w:tcBorders>
          </w:tcPr>
          <w:p w14:paraId="4985290A" w14:textId="77777777" w:rsidR="00CF2BEF" w:rsidRPr="00BA340B" w:rsidRDefault="00CF2BEF" w:rsidP="006A178A">
            <w:pPr>
              <w:pStyle w:val="TableBody"/>
            </w:pPr>
            <w:r w:rsidRPr="00BA340B">
              <w:t>0.03937</w:t>
            </w:r>
          </w:p>
        </w:tc>
        <w:tc>
          <w:tcPr>
            <w:tcW w:w="2559" w:type="dxa"/>
            <w:tcBorders>
              <w:top w:val="nil"/>
              <w:bottom w:val="nil"/>
            </w:tcBorders>
          </w:tcPr>
          <w:p w14:paraId="14843FF0" w14:textId="77777777" w:rsidR="00CF2BEF" w:rsidRPr="00BA340B" w:rsidRDefault="00CF2BEF" w:rsidP="006A178A">
            <w:pPr>
              <w:pStyle w:val="TableBody"/>
            </w:pPr>
            <w:r w:rsidRPr="00BA340B">
              <w:t>inch (in.)</w:t>
            </w:r>
          </w:p>
        </w:tc>
      </w:tr>
      <w:tr w:rsidR="00CF2BEF" w:rsidRPr="00BA340B" w14:paraId="3008EB34" w14:textId="77777777" w:rsidTr="006A178A">
        <w:trPr>
          <w:cantSplit/>
        </w:trPr>
        <w:tc>
          <w:tcPr>
            <w:tcW w:w="2558" w:type="dxa"/>
            <w:tcBorders>
              <w:top w:val="nil"/>
              <w:bottom w:val="nil"/>
            </w:tcBorders>
          </w:tcPr>
          <w:p w14:paraId="736E6FAE" w14:textId="77777777" w:rsidR="00CF2BEF" w:rsidRPr="00BA340B" w:rsidRDefault="00CF2BEF" w:rsidP="006A178A">
            <w:pPr>
              <w:pStyle w:val="TableBody"/>
            </w:pPr>
            <w:r w:rsidRPr="00BA340B">
              <w:t>meter (m)</w:t>
            </w:r>
          </w:p>
        </w:tc>
        <w:tc>
          <w:tcPr>
            <w:tcW w:w="2558" w:type="dxa"/>
            <w:tcBorders>
              <w:top w:val="nil"/>
              <w:bottom w:val="nil"/>
            </w:tcBorders>
          </w:tcPr>
          <w:p w14:paraId="6EBF4CDC" w14:textId="77777777" w:rsidR="00CF2BEF" w:rsidRPr="00BA340B" w:rsidRDefault="00CF2BEF" w:rsidP="006A178A">
            <w:pPr>
              <w:pStyle w:val="TableBody"/>
            </w:pPr>
            <w:r w:rsidRPr="00BA340B">
              <w:t>3.281</w:t>
            </w:r>
          </w:p>
        </w:tc>
        <w:tc>
          <w:tcPr>
            <w:tcW w:w="2559" w:type="dxa"/>
            <w:tcBorders>
              <w:top w:val="nil"/>
              <w:bottom w:val="nil"/>
            </w:tcBorders>
          </w:tcPr>
          <w:p w14:paraId="3BF48E6E" w14:textId="77777777" w:rsidR="00CF2BEF" w:rsidRPr="00BA340B" w:rsidRDefault="00CF2BEF" w:rsidP="006A178A">
            <w:pPr>
              <w:pStyle w:val="TableBody"/>
            </w:pPr>
            <w:r w:rsidRPr="00BA340B">
              <w:t xml:space="preserve">foot (ft) </w:t>
            </w:r>
          </w:p>
        </w:tc>
      </w:tr>
      <w:tr w:rsidR="00CF2BEF" w:rsidRPr="00BA340B" w14:paraId="5195911C" w14:textId="77777777" w:rsidTr="006A178A">
        <w:trPr>
          <w:cantSplit/>
        </w:trPr>
        <w:tc>
          <w:tcPr>
            <w:tcW w:w="2558" w:type="dxa"/>
            <w:tcBorders>
              <w:top w:val="nil"/>
              <w:bottom w:val="nil"/>
            </w:tcBorders>
          </w:tcPr>
          <w:p w14:paraId="6133EA2D" w14:textId="77777777" w:rsidR="00CF2BEF" w:rsidRPr="00BA340B" w:rsidRDefault="00CF2BEF" w:rsidP="006A178A">
            <w:pPr>
              <w:pStyle w:val="TableBody"/>
            </w:pPr>
            <w:r w:rsidRPr="00BA340B">
              <w:t>kilometer (km)</w:t>
            </w:r>
          </w:p>
        </w:tc>
        <w:tc>
          <w:tcPr>
            <w:tcW w:w="2558" w:type="dxa"/>
            <w:tcBorders>
              <w:top w:val="nil"/>
              <w:bottom w:val="nil"/>
            </w:tcBorders>
          </w:tcPr>
          <w:p w14:paraId="1FABBAB5" w14:textId="77777777" w:rsidR="00CF2BEF" w:rsidRPr="00BA340B" w:rsidRDefault="00CF2BEF" w:rsidP="006A178A">
            <w:pPr>
              <w:pStyle w:val="TableBody"/>
            </w:pPr>
            <w:r w:rsidRPr="00BA340B">
              <w:t>0.6214</w:t>
            </w:r>
          </w:p>
        </w:tc>
        <w:tc>
          <w:tcPr>
            <w:tcW w:w="2559" w:type="dxa"/>
            <w:tcBorders>
              <w:top w:val="nil"/>
              <w:bottom w:val="nil"/>
            </w:tcBorders>
          </w:tcPr>
          <w:p w14:paraId="1A267CFC" w14:textId="77777777" w:rsidR="00CF2BEF" w:rsidRPr="00BA340B" w:rsidRDefault="00CF2BEF" w:rsidP="006A178A">
            <w:pPr>
              <w:pStyle w:val="TableBody"/>
            </w:pPr>
            <w:r w:rsidRPr="00BA340B">
              <w:t>mile (mi)</w:t>
            </w:r>
          </w:p>
        </w:tc>
      </w:tr>
      <w:tr w:rsidR="00CF2BEF" w:rsidRPr="00BA340B" w14:paraId="21239E08" w14:textId="77777777" w:rsidTr="006A178A">
        <w:trPr>
          <w:cantSplit/>
        </w:trPr>
        <w:tc>
          <w:tcPr>
            <w:tcW w:w="7675" w:type="dxa"/>
            <w:gridSpan w:val="3"/>
            <w:tcBorders>
              <w:bottom w:val="single" w:sz="4" w:space="0" w:color="auto"/>
            </w:tcBorders>
            <w:vAlign w:val="center"/>
          </w:tcPr>
          <w:p w14:paraId="71ECB689" w14:textId="77777777" w:rsidR="00CF2BEF" w:rsidRPr="002E2E3D" w:rsidRDefault="00CF2BEF" w:rsidP="006A178A">
            <w:pPr>
              <w:pStyle w:val="TableSpanner"/>
              <w:tabs>
                <w:tab w:val="decimal" w:pos="495"/>
              </w:tabs>
            </w:pPr>
            <w:r w:rsidRPr="002E2E3D">
              <w:t>Area</w:t>
            </w:r>
          </w:p>
        </w:tc>
      </w:tr>
      <w:tr w:rsidR="00CF2BEF" w:rsidRPr="00BA340B" w14:paraId="5E892112" w14:textId="77777777" w:rsidTr="006A178A">
        <w:trPr>
          <w:cantSplit/>
        </w:trPr>
        <w:tc>
          <w:tcPr>
            <w:tcW w:w="2558" w:type="dxa"/>
            <w:tcBorders>
              <w:bottom w:val="nil"/>
            </w:tcBorders>
          </w:tcPr>
          <w:p w14:paraId="6E7260E9" w14:textId="77777777" w:rsidR="00CF2BEF" w:rsidRPr="00BA340B" w:rsidRDefault="00CF2BEF" w:rsidP="006A178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34FCB9D7" w14:textId="77777777" w:rsidR="00CF2BEF" w:rsidRPr="00BA340B" w:rsidRDefault="00CF2BEF" w:rsidP="006A178A">
            <w:pPr>
              <w:pStyle w:val="TableBody"/>
            </w:pPr>
            <w:r w:rsidRPr="00BA340B">
              <w:t>0.0002471</w:t>
            </w:r>
          </w:p>
        </w:tc>
        <w:tc>
          <w:tcPr>
            <w:tcW w:w="2559" w:type="dxa"/>
            <w:tcBorders>
              <w:bottom w:val="nil"/>
            </w:tcBorders>
          </w:tcPr>
          <w:p w14:paraId="5E7235DC" w14:textId="77777777" w:rsidR="00CF2BEF" w:rsidRPr="00BA340B" w:rsidRDefault="00CF2BEF" w:rsidP="006A178A">
            <w:pPr>
              <w:pStyle w:val="TableBody"/>
            </w:pPr>
            <w:r w:rsidRPr="00BA340B">
              <w:t xml:space="preserve">acre </w:t>
            </w:r>
          </w:p>
        </w:tc>
      </w:tr>
      <w:tr w:rsidR="00CF2BEF" w:rsidRPr="00BA340B" w14:paraId="68A9C460" w14:textId="77777777" w:rsidTr="006A178A">
        <w:trPr>
          <w:cantSplit/>
        </w:trPr>
        <w:tc>
          <w:tcPr>
            <w:tcW w:w="2558" w:type="dxa"/>
            <w:tcBorders>
              <w:top w:val="nil"/>
              <w:bottom w:val="nil"/>
            </w:tcBorders>
          </w:tcPr>
          <w:p w14:paraId="4DC69BCF" w14:textId="77777777" w:rsidR="00CF2BEF" w:rsidRPr="00BA340B" w:rsidRDefault="00CF2BEF" w:rsidP="006A178A">
            <w:pPr>
              <w:pStyle w:val="TableBody"/>
            </w:pPr>
            <w:r w:rsidRPr="00BA340B">
              <w:t>hectare (ha)</w:t>
            </w:r>
          </w:p>
        </w:tc>
        <w:tc>
          <w:tcPr>
            <w:tcW w:w="2558" w:type="dxa"/>
            <w:tcBorders>
              <w:top w:val="nil"/>
              <w:bottom w:val="nil"/>
            </w:tcBorders>
          </w:tcPr>
          <w:p w14:paraId="57544018" w14:textId="77777777" w:rsidR="00CF2BEF" w:rsidRPr="00BA340B" w:rsidRDefault="00CF2BEF" w:rsidP="006A178A">
            <w:pPr>
              <w:pStyle w:val="TableBody"/>
            </w:pPr>
            <w:r w:rsidRPr="00BA340B">
              <w:t>2.471</w:t>
            </w:r>
          </w:p>
        </w:tc>
        <w:tc>
          <w:tcPr>
            <w:tcW w:w="2559" w:type="dxa"/>
            <w:tcBorders>
              <w:top w:val="nil"/>
              <w:bottom w:val="nil"/>
            </w:tcBorders>
          </w:tcPr>
          <w:p w14:paraId="562BC823" w14:textId="77777777" w:rsidR="00CF2BEF" w:rsidRPr="00BA340B" w:rsidRDefault="00CF2BEF" w:rsidP="006A178A">
            <w:pPr>
              <w:pStyle w:val="TableBody"/>
            </w:pPr>
            <w:r w:rsidRPr="00BA340B">
              <w:t>acre</w:t>
            </w:r>
          </w:p>
        </w:tc>
      </w:tr>
      <w:tr w:rsidR="00CF2BEF" w:rsidRPr="00BA340B" w14:paraId="5A2E8C72" w14:textId="77777777" w:rsidTr="006A178A">
        <w:trPr>
          <w:cantSplit/>
        </w:trPr>
        <w:tc>
          <w:tcPr>
            <w:tcW w:w="2558" w:type="dxa"/>
            <w:tcBorders>
              <w:top w:val="nil"/>
              <w:bottom w:val="nil"/>
            </w:tcBorders>
          </w:tcPr>
          <w:p w14:paraId="53DF72A9" w14:textId="77777777" w:rsidR="00CF2BEF" w:rsidRPr="00BA340B" w:rsidRDefault="00CF2BEF" w:rsidP="006A178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3E3EAACA" w14:textId="77777777" w:rsidR="00CF2BEF" w:rsidRPr="00BA340B" w:rsidRDefault="00CF2BEF" w:rsidP="006A178A">
            <w:pPr>
              <w:pStyle w:val="TableBody"/>
            </w:pPr>
            <w:r w:rsidRPr="00BA340B">
              <w:t>2.471</w:t>
            </w:r>
          </w:p>
        </w:tc>
        <w:tc>
          <w:tcPr>
            <w:tcW w:w="2559" w:type="dxa"/>
            <w:tcBorders>
              <w:top w:val="nil"/>
              <w:bottom w:val="nil"/>
            </w:tcBorders>
          </w:tcPr>
          <w:p w14:paraId="052AE8B8" w14:textId="77777777" w:rsidR="00CF2BEF" w:rsidRPr="00BA340B" w:rsidRDefault="00CF2BEF" w:rsidP="006A178A">
            <w:pPr>
              <w:pStyle w:val="TableBody"/>
            </w:pPr>
            <w:r w:rsidRPr="00BA340B">
              <w:t>acre</w:t>
            </w:r>
          </w:p>
        </w:tc>
      </w:tr>
      <w:tr w:rsidR="00CF2BEF" w:rsidRPr="00BA340B" w14:paraId="7924756A" w14:textId="77777777" w:rsidTr="006A178A">
        <w:trPr>
          <w:cantSplit/>
        </w:trPr>
        <w:tc>
          <w:tcPr>
            <w:tcW w:w="2558" w:type="dxa"/>
            <w:tcBorders>
              <w:top w:val="nil"/>
              <w:bottom w:val="nil"/>
            </w:tcBorders>
          </w:tcPr>
          <w:p w14:paraId="46CED4B2" w14:textId="77777777" w:rsidR="00CF2BEF" w:rsidRPr="00BA340B" w:rsidRDefault="00CF2BEF" w:rsidP="006A178A">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07C27DFE" w14:textId="77777777" w:rsidR="00CF2BEF" w:rsidRPr="00BA340B" w:rsidRDefault="00CF2BEF" w:rsidP="006A178A">
            <w:pPr>
              <w:pStyle w:val="TableBody"/>
            </w:pPr>
            <w:r w:rsidRPr="00BA340B">
              <w:t>247.1</w:t>
            </w:r>
          </w:p>
        </w:tc>
        <w:tc>
          <w:tcPr>
            <w:tcW w:w="2559" w:type="dxa"/>
            <w:tcBorders>
              <w:top w:val="nil"/>
              <w:bottom w:val="nil"/>
            </w:tcBorders>
          </w:tcPr>
          <w:p w14:paraId="4B683E22" w14:textId="77777777" w:rsidR="00CF2BEF" w:rsidRPr="00BA340B" w:rsidRDefault="00CF2BEF" w:rsidP="006A178A">
            <w:pPr>
              <w:pStyle w:val="TableBody"/>
            </w:pPr>
            <w:r w:rsidRPr="00BA340B">
              <w:t>acre</w:t>
            </w:r>
          </w:p>
        </w:tc>
      </w:tr>
      <w:tr w:rsidR="00CF2BEF" w:rsidRPr="00BA340B" w14:paraId="631D6EF0" w14:textId="77777777" w:rsidTr="006A178A">
        <w:trPr>
          <w:cantSplit/>
        </w:trPr>
        <w:tc>
          <w:tcPr>
            <w:tcW w:w="2558" w:type="dxa"/>
            <w:tcBorders>
              <w:top w:val="nil"/>
              <w:bottom w:val="nil"/>
            </w:tcBorders>
          </w:tcPr>
          <w:p w14:paraId="06B96643" w14:textId="77777777" w:rsidR="00CF2BEF" w:rsidRPr="00BA340B" w:rsidRDefault="00CF2BEF" w:rsidP="006A178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1194CA78" w14:textId="77777777" w:rsidR="00CF2BEF" w:rsidRPr="00BA340B" w:rsidRDefault="00CF2BEF" w:rsidP="006A178A">
            <w:pPr>
              <w:pStyle w:val="TableBody"/>
            </w:pPr>
            <w:r w:rsidRPr="00BA340B">
              <w:t>0.001076</w:t>
            </w:r>
          </w:p>
        </w:tc>
        <w:tc>
          <w:tcPr>
            <w:tcW w:w="2559" w:type="dxa"/>
            <w:tcBorders>
              <w:top w:val="nil"/>
              <w:bottom w:val="nil"/>
            </w:tcBorders>
          </w:tcPr>
          <w:p w14:paraId="142824EE" w14:textId="77777777" w:rsidR="00CF2BEF" w:rsidRPr="00BA340B" w:rsidRDefault="00CF2BEF" w:rsidP="006A178A">
            <w:pPr>
              <w:pStyle w:val="TableBody"/>
            </w:pPr>
            <w:r w:rsidRPr="00BA340B">
              <w:t>square foot (ft</w:t>
            </w:r>
            <w:r w:rsidRPr="0003326A">
              <w:rPr>
                <w:vertAlign w:val="superscript"/>
              </w:rPr>
              <w:t>2</w:t>
            </w:r>
            <w:r w:rsidRPr="00BA340B">
              <w:t>)</w:t>
            </w:r>
          </w:p>
        </w:tc>
      </w:tr>
      <w:tr w:rsidR="00CF2BEF" w:rsidRPr="00BA340B" w14:paraId="11171CC0" w14:textId="77777777" w:rsidTr="006A178A">
        <w:trPr>
          <w:cantSplit/>
        </w:trPr>
        <w:tc>
          <w:tcPr>
            <w:tcW w:w="2558" w:type="dxa"/>
            <w:tcBorders>
              <w:top w:val="nil"/>
              <w:bottom w:val="nil"/>
            </w:tcBorders>
          </w:tcPr>
          <w:p w14:paraId="7B35DB07" w14:textId="77777777" w:rsidR="00CF2BEF" w:rsidRPr="00BA340B" w:rsidRDefault="00CF2BEF" w:rsidP="006A178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5C20A6AF" w14:textId="77777777" w:rsidR="00CF2BEF" w:rsidRPr="00BA340B" w:rsidRDefault="00CF2BEF" w:rsidP="006A178A">
            <w:pPr>
              <w:pStyle w:val="TableBody"/>
            </w:pPr>
            <w:r w:rsidRPr="00BA340B">
              <w:t>10.76</w:t>
            </w:r>
          </w:p>
        </w:tc>
        <w:tc>
          <w:tcPr>
            <w:tcW w:w="2559" w:type="dxa"/>
            <w:tcBorders>
              <w:top w:val="nil"/>
              <w:bottom w:val="nil"/>
            </w:tcBorders>
          </w:tcPr>
          <w:p w14:paraId="6BA76D40" w14:textId="77777777" w:rsidR="00CF2BEF" w:rsidRPr="00BA340B" w:rsidRDefault="00CF2BEF" w:rsidP="006A178A">
            <w:pPr>
              <w:pStyle w:val="TableBody"/>
            </w:pPr>
            <w:r w:rsidRPr="00BA340B">
              <w:t>square foot (ft</w:t>
            </w:r>
            <w:r w:rsidRPr="0003326A">
              <w:rPr>
                <w:vertAlign w:val="superscript"/>
              </w:rPr>
              <w:t>2</w:t>
            </w:r>
            <w:r w:rsidRPr="00BA340B">
              <w:t xml:space="preserve">) </w:t>
            </w:r>
          </w:p>
        </w:tc>
      </w:tr>
      <w:tr w:rsidR="00CF2BEF" w:rsidRPr="00BA340B" w14:paraId="4204475B" w14:textId="77777777" w:rsidTr="006A178A">
        <w:trPr>
          <w:cantSplit/>
        </w:trPr>
        <w:tc>
          <w:tcPr>
            <w:tcW w:w="2558" w:type="dxa"/>
            <w:tcBorders>
              <w:top w:val="nil"/>
              <w:bottom w:val="nil"/>
            </w:tcBorders>
          </w:tcPr>
          <w:p w14:paraId="3EB6A5D3" w14:textId="77777777" w:rsidR="00CF2BEF" w:rsidRPr="00BA340B" w:rsidRDefault="00CF2BEF" w:rsidP="006A178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000472B6" w14:textId="77777777" w:rsidR="00CF2BEF" w:rsidRPr="00BA340B" w:rsidRDefault="00CF2BEF" w:rsidP="006A178A">
            <w:pPr>
              <w:pStyle w:val="TableBody"/>
            </w:pPr>
            <w:r w:rsidRPr="00BA340B">
              <w:t>0.1550</w:t>
            </w:r>
          </w:p>
        </w:tc>
        <w:tc>
          <w:tcPr>
            <w:tcW w:w="2559" w:type="dxa"/>
            <w:tcBorders>
              <w:top w:val="nil"/>
              <w:bottom w:val="nil"/>
            </w:tcBorders>
          </w:tcPr>
          <w:p w14:paraId="45B1688A" w14:textId="77777777" w:rsidR="00CF2BEF" w:rsidRPr="00BA340B" w:rsidRDefault="00CF2BEF" w:rsidP="006A178A">
            <w:pPr>
              <w:pStyle w:val="TableBody"/>
            </w:pPr>
            <w:r w:rsidRPr="00BA340B">
              <w:t>square inch (</w:t>
            </w:r>
            <w:r>
              <w:t>in</w:t>
            </w:r>
            <w:r w:rsidRPr="0003326A">
              <w:rPr>
                <w:vertAlign w:val="superscript"/>
              </w:rPr>
              <w:t>2</w:t>
            </w:r>
            <w:r w:rsidRPr="00BA340B">
              <w:t xml:space="preserve">) </w:t>
            </w:r>
          </w:p>
        </w:tc>
      </w:tr>
      <w:tr w:rsidR="00CF2BEF" w:rsidRPr="00BA340B" w14:paraId="7D8BFE0F" w14:textId="77777777" w:rsidTr="006A178A">
        <w:trPr>
          <w:cantSplit/>
        </w:trPr>
        <w:tc>
          <w:tcPr>
            <w:tcW w:w="2558" w:type="dxa"/>
            <w:tcBorders>
              <w:top w:val="nil"/>
              <w:bottom w:val="nil"/>
            </w:tcBorders>
          </w:tcPr>
          <w:p w14:paraId="393251DD" w14:textId="77777777" w:rsidR="00CF2BEF" w:rsidRPr="00BA340B" w:rsidRDefault="00CF2BEF" w:rsidP="006A178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5A7B6306" w14:textId="77777777" w:rsidR="00CF2BEF" w:rsidRPr="00BA340B" w:rsidRDefault="00CF2BEF" w:rsidP="006A178A">
            <w:pPr>
              <w:pStyle w:val="TableBody"/>
            </w:pPr>
            <w:r w:rsidRPr="00BA340B">
              <w:t>0.003861</w:t>
            </w:r>
          </w:p>
        </w:tc>
        <w:tc>
          <w:tcPr>
            <w:tcW w:w="2559" w:type="dxa"/>
            <w:tcBorders>
              <w:top w:val="nil"/>
              <w:bottom w:val="nil"/>
            </w:tcBorders>
          </w:tcPr>
          <w:p w14:paraId="4A92D1EB" w14:textId="77777777" w:rsidR="00CF2BEF" w:rsidRPr="00BA340B" w:rsidRDefault="00CF2BEF" w:rsidP="006A178A">
            <w:pPr>
              <w:pStyle w:val="TableBody"/>
            </w:pPr>
            <w:r w:rsidRPr="00BA340B">
              <w:t>section (640 acres or 1 square mile)</w:t>
            </w:r>
          </w:p>
        </w:tc>
      </w:tr>
      <w:tr w:rsidR="00CF2BEF" w:rsidRPr="00BA340B" w14:paraId="5767C3EA" w14:textId="77777777" w:rsidTr="006A178A">
        <w:trPr>
          <w:cantSplit/>
        </w:trPr>
        <w:tc>
          <w:tcPr>
            <w:tcW w:w="2558" w:type="dxa"/>
            <w:tcBorders>
              <w:top w:val="nil"/>
              <w:bottom w:val="nil"/>
            </w:tcBorders>
          </w:tcPr>
          <w:p w14:paraId="7E9E6F8B" w14:textId="77777777" w:rsidR="00CF2BEF" w:rsidRPr="00BA340B" w:rsidRDefault="00CF2BEF" w:rsidP="006A178A">
            <w:pPr>
              <w:pStyle w:val="TableBody"/>
            </w:pPr>
            <w:r w:rsidRPr="00BA340B">
              <w:t>hectare (ha)</w:t>
            </w:r>
          </w:p>
        </w:tc>
        <w:tc>
          <w:tcPr>
            <w:tcW w:w="2558" w:type="dxa"/>
            <w:tcBorders>
              <w:top w:val="nil"/>
              <w:bottom w:val="nil"/>
            </w:tcBorders>
          </w:tcPr>
          <w:p w14:paraId="1F2A2F7E" w14:textId="77777777" w:rsidR="00CF2BEF" w:rsidRPr="00BA340B" w:rsidRDefault="00CF2BEF" w:rsidP="006A178A">
            <w:pPr>
              <w:pStyle w:val="TableBody"/>
            </w:pPr>
            <w:r w:rsidRPr="00BA340B">
              <w:t>0.003861</w:t>
            </w:r>
          </w:p>
        </w:tc>
        <w:tc>
          <w:tcPr>
            <w:tcW w:w="2559" w:type="dxa"/>
            <w:tcBorders>
              <w:top w:val="nil"/>
              <w:bottom w:val="nil"/>
            </w:tcBorders>
          </w:tcPr>
          <w:p w14:paraId="306CC253" w14:textId="77777777" w:rsidR="00CF2BEF" w:rsidRPr="00BA340B" w:rsidRDefault="00CF2BEF" w:rsidP="006A178A">
            <w:pPr>
              <w:pStyle w:val="TableBody"/>
            </w:pPr>
            <w:r w:rsidRPr="00BA340B">
              <w:t>square mile (mi</w:t>
            </w:r>
            <w:r w:rsidRPr="0003326A">
              <w:rPr>
                <w:vertAlign w:val="superscript"/>
              </w:rPr>
              <w:t>2</w:t>
            </w:r>
            <w:r w:rsidRPr="00BA340B">
              <w:t xml:space="preserve">) </w:t>
            </w:r>
          </w:p>
        </w:tc>
      </w:tr>
      <w:tr w:rsidR="00CF2BEF" w:rsidRPr="00BA340B" w14:paraId="0405ABB3" w14:textId="77777777" w:rsidTr="006A178A">
        <w:trPr>
          <w:cantSplit/>
        </w:trPr>
        <w:tc>
          <w:tcPr>
            <w:tcW w:w="2558" w:type="dxa"/>
            <w:tcBorders>
              <w:top w:val="nil"/>
            </w:tcBorders>
          </w:tcPr>
          <w:p w14:paraId="42D3D913" w14:textId="77777777" w:rsidR="00CF2BEF" w:rsidRPr="00BA340B" w:rsidRDefault="00CF2BEF" w:rsidP="006A178A">
            <w:pPr>
              <w:pStyle w:val="TableBody"/>
            </w:pPr>
            <w:r w:rsidRPr="00BA340B">
              <w:t>square kilometer (km</w:t>
            </w:r>
            <w:r w:rsidRPr="0003326A">
              <w:rPr>
                <w:vertAlign w:val="superscript"/>
              </w:rPr>
              <w:t>2</w:t>
            </w:r>
            <w:r w:rsidRPr="00BA340B">
              <w:t>)</w:t>
            </w:r>
          </w:p>
        </w:tc>
        <w:tc>
          <w:tcPr>
            <w:tcW w:w="2558" w:type="dxa"/>
            <w:tcBorders>
              <w:top w:val="nil"/>
            </w:tcBorders>
          </w:tcPr>
          <w:p w14:paraId="543B8B69" w14:textId="77777777" w:rsidR="00CF2BEF" w:rsidRPr="00BA340B" w:rsidRDefault="00CF2BEF" w:rsidP="006A178A">
            <w:pPr>
              <w:pStyle w:val="TableBody"/>
            </w:pPr>
            <w:r w:rsidRPr="00BA340B">
              <w:t>0.3861</w:t>
            </w:r>
          </w:p>
        </w:tc>
        <w:tc>
          <w:tcPr>
            <w:tcW w:w="2559" w:type="dxa"/>
            <w:tcBorders>
              <w:top w:val="nil"/>
            </w:tcBorders>
          </w:tcPr>
          <w:p w14:paraId="0B602F5D" w14:textId="77777777" w:rsidR="00CF2BEF" w:rsidRPr="00BA340B" w:rsidRDefault="00CF2BEF" w:rsidP="006A178A">
            <w:pPr>
              <w:pStyle w:val="TableBody"/>
            </w:pPr>
            <w:r w:rsidRPr="00BA340B">
              <w:t>square mile (mi</w:t>
            </w:r>
            <w:r w:rsidRPr="0003326A">
              <w:rPr>
                <w:vertAlign w:val="superscript"/>
              </w:rPr>
              <w:t>2</w:t>
            </w:r>
            <w:r w:rsidRPr="00BA340B">
              <w:t>)</w:t>
            </w:r>
          </w:p>
        </w:tc>
      </w:tr>
      <w:tr w:rsidR="00CF2BEF" w:rsidRPr="00BA340B" w14:paraId="409C715E" w14:textId="77777777" w:rsidTr="006A178A">
        <w:trPr>
          <w:cantSplit/>
        </w:trPr>
        <w:tc>
          <w:tcPr>
            <w:tcW w:w="2558" w:type="dxa"/>
            <w:tcBorders>
              <w:top w:val="nil"/>
              <w:bottom w:val="nil"/>
            </w:tcBorders>
          </w:tcPr>
          <w:p w14:paraId="6898AC3F" w14:textId="77777777" w:rsidR="00CF2BEF" w:rsidRPr="00BA340B" w:rsidRDefault="00CF2BEF" w:rsidP="006A178A">
            <w:pPr>
              <w:pStyle w:val="TableBody"/>
            </w:pPr>
          </w:p>
        </w:tc>
        <w:tc>
          <w:tcPr>
            <w:tcW w:w="2558" w:type="dxa"/>
            <w:tcBorders>
              <w:top w:val="nil"/>
              <w:bottom w:val="nil"/>
            </w:tcBorders>
          </w:tcPr>
          <w:p w14:paraId="4414CBE5" w14:textId="77777777" w:rsidR="00CF2BEF" w:rsidRPr="00BA340B" w:rsidRDefault="00CF2BEF" w:rsidP="006A178A">
            <w:pPr>
              <w:pStyle w:val="TableBody"/>
            </w:pPr>
          </w:p>
        </w:tc>
        <w:tc>
          <w:tcPr>
            <w:tcW w:w="2559" w:type="dxa"/>
            <w:tcBorders>
              <w:top w:val="nil"/>
              <w:bottom w:val="nil"/>
            </w:tcBorders>
          </w:tcPr>
          <w:p w14:paraId="6CDEF651" w14:textId="77777777" w:rsidR="00CF2BEF" w:rsidRPr="00BA340B" w:rsidRDefault="00CF2BEF" w:rsidP="006A178A">
            <w:pPr>
              <w:pStyle w:val="TableBody"/>
            </w:pPr>
          </w:p>
        </w:tc>
      </w:tr>
    </w:tbl>
    <w:p w14:paraId="4CB60B60" w14:textId="77777777" w:rsidR="00CF2BEF" w:rsidRDefault="00CF2BEF" w:rsidP="00CF2BEF">
      <w:pPr>
        <w:pStyle w:val="FrontMatterHead"/>
      </w:pPr>
      <w:bookmarkStart w:id="24" w:name="_Toc507583979"/>
      <w:bookmarkStart w:id="25" w:name="_Toc507584033"/>
    </w:p>
    <w:bookmarkEnd w:id="24"/>
    <w:bookmarkEnd w:id="25"/>
    <w:p w14:paraId="7EDF2EBF" w14:textId="77777777" w:rsidR="00CF2BEF" w:rsidRDefault="00CF2BEF" w:rsidP="00CF2BEF">
      <w:pPr>
        <w:pStyle w:val="DefListTitleFront"/>
      </w:pPr>
      <w:r>
        <w:t>Abbreviations</w:t>
      </w:r>
    </w:p>
    <w:p w14:paraId="53116386" w14:textId="77777777" w:rsidR="00CF2BEF" w:rsidRDefault="00CF2BEF" w:rsidP="00CF2BEF">
      <w:pPr>
        <w:pStyle w:val="DefListItem"/>
      </w:pPr>
      <w:r>
        <w:t>ADB</w:t>
      </w:r>
      <w:r>
        <w:tab/>
        <w:t>Asian Development Bank</w:t>
      </w:r>
    </w:p>
    <w:p w14:paraId="5D23FB8C" w14:textId="77777777" w:rsidR="00CF2BEF" w:rsidRDefault="00CF2BEF" w:rsidP="00CF2BEF">
      <w:pPr>
        <w:pStyle w:val="DefListItem"/>
      </w:pPr>
      <w:r>
        <w:t>FSM</w:t>
      </w:r>
      <w:r>
        <w:tab/>
        <w:t>Federated States of Micronesia</w:t>
      </w:r>
    </w:p>
    <w:p w14:paraId="48760AF7" w14:textId="77777777" w:rsidR="00CF2BEF" w:rsidRDefault="00CF2BEF" w:rsidP="00CF2BEF">
      <w:pPr>
        <w:pStyle w:val="DefListItem"/>
      </w:pPr>
      <w:r>
        <w:t>USGS</w:t>
      </w:r>
      <w:r>
        <w:tab/>
        <w:t>U.S. Geological Survey</w:t>
      </w:r>
    </w:p>
    <w:p w14:paraId="738F8F27" w14:textId="77777777" w:rsidR="00CF2BEF" w:rsidRDefault="00CF2BEF" w:rsidP="00CF2BEF">
      <w:pPr>
        <w:pStyle w:val="DefListItem"/>
      </w:pPr>
      <w:r>
        <w:t>ET</w:t>
      </w:r>
      <w:r>
        <w:tab/>
        <w:t>Evapotranspiration</w:t>
      </w:r>
    </w:p>
    <w:p w14:paraId="6573BACF" w14:textId="77777777" w:rsidR="00CF2BEF" w:rsidRDefault="00CF2BEF" w:rsidP="00CF2BEF">
      <w:pPr>
        <w:pStyle w:val="DefListItem"/>
      </w:pPr>
      <w:r w:rsidRPr="00E83878">
        <w:t>ENSO</w:t>
      </w:r>
      <w:r>
        <w:tab/>
      </w:r>
      <w:r w:rsidRPr="00E13B69">
        <w:t>El Niño–Southern Oscillation</w:t>
      </w:r>
    </w:p>
    <w:p w14:paraId="23D289EB" w14:textId="77777777" w:rsidR="00CF2BEF" w:rsidRDefault="00CF2BEF" w:rsidP="00CF2BEF">
      <w:pPr>
        <w:pStyle w:val="DefListItem"/>
      </w:pPr>
      <w:r>
        <w:t>P</w:t>
      </w:r>
      <w:r>
        <w:tab/>
        <w:t>Precipitation</w:t>
      </w:r>
    </w:p>
    <w:bookmarkEnd w:id="16"/>
    <w:bookmarkEnd w:id="17"/>
    <w:p w14:paraId="3903A1C8" w14:textId="1B941607" w:rsidR="5CB07C3E" w:rsidRDefault="5CB07C3E" w:rsidP="25A413DE">
      <w:pPr>
        <w:pStyle w:val="DefListItem"/>
      </w:pPr>
      <w:r>
        <w:t>RMI</w:t>
      </w:r>
      <w:r>
        <w:tab/>
        <w:t>Republic of the Marshall Islands</w:t>
      </w:r>
    </w:p>
    <w:p w14:paraId="16E3E585" w14:textId="5F01B35E" w:rsidR="00203691" w:rsidRDefault="00203691" w:rsidP="00203691">
      <w:pPr>
        <w:pStyle w:val="TableofFigures"/>
        <w:tabs>
          <w:tab w:val="left" w:pos="1195"/>
          <w:tab w:val="right" w:leader="dot" w:pos="9350"/>
        </w:tabs>
      </w:pPr>
    </w:p>
    <w:p w14:paraId="652FB945" w14:textId="77777777" w:rsidR="00560048" w:rsidRDefault="00560048" w:rsidP="000A50CB">
      <w:pPr>
        <w:pStyle w:val="BodyText"/>
      </w:pPr>
      <w:bookmarkStart w:id="26" w:name="_Toc507583983"/>
      <w:bookmarkStart w:id="27" w:name="_Toc507584037"/>
      <w:bookmarkStart w:id="28" w:name="_Toc531073708"/>
      <w:bookmarkEnd w:id="0"/>
      <w:bookmarkEnd w:id="1"/>
      <w:bookmarkEnd w:id="2"/>
      <w:bookmarkEnd w:id="14"/>
      <w:bookmarkEnd w:id="15"/>
    </w:p>
    <w:p w14:paraId="64A60D78" w14:textId="22B06C19" w:rsidR="00DA6B7A" w:rsidRDefault="00DA6B7A" w:rsidP="00DA6B7A">
      <w:pPr>
        <w:pStyle w:val="Head1"/>
      </w:pPr>
      <w:bookmarkStart w:id="29" w:name="_Toc227693246"/>
      <w:r>
        <w:t>Introduction</w:t>
      </w:r>
      <w:bookmarkEnd w:id="26"/>
      <w:bookmarkEnd w:id="27"/>
      <w:bookmarkEnd w:id="28"/>
      <w:bookmarkEnd w:id="29"/>
    </w:p>
    <w:p w14:paraId="642DDA87" w14:textId="5470735E" w:rsidR="00657BB3" w:rsidRPr="00657BB3" w:rsidRDefault="00657BB3" w:rsidP="00657BB3">
      <w:pPr>
        <w:pStyle w:val="BodyText"/>
      </w:pPr>
      <w:r w:rsidRPr="00657BB3">
        <w:t>Freshwater is critically important for sustaining life, supporting communities, and enabling economic activities across the Pacific islands. On Majuro Atoll</w:t>
      </w:r>
      <w:r w:rsidR="00914FDA">
        <w:t xml:space="preserve">, </w:t>
      </w:r>
      <w:r w:rsidRPr="00657BB3">
        <w:t>the capital and population center of the Republic of the Marshall Islands (RMI)</w:t>
      </w:r>
      <w:r w:rsidR="00914FDA">
        <w:t xml:space="preserve">, </w:t>
      </w:r>
      <w:r w:rsidRPr="00657BB3">
        <w:t>reliable hydrologic information is increasingly essential for utilities, resource managers, and the public to plan for highly variable water supplies, reduce the impacts of prolonged droughts, and strengthen long</w:t>
      </w:r>
      <w:r w:rsidRPr="00657BB3">
        <w:noBreakHyphen/>
        <w:t>term water security. The Asian Development Bank (ADB), whose mission includes supporting sustainable development and building climate resilience across Asia and the Pacific (ADB, 1965), recognizes that dependable access to safe water underpins public health, environmental stability, and economic growth.</w:t>
      </w:r>
    </w:p>
    <w:p w14:paraId="4E255C76" w14:textId="356717DF" w:rsidR="00657BB3" w:rsidRPr="00657BB3" w:rsidRDefault="00657BB3" w:rsidP="00657BB3">
      <w:pPr>
        <w:pStyle w:val="BodyText"/>
      </w:pPr>
      <w:r w:rsidRPr="00657BB3">
        <w:lastRenderedPageBreak/>
        <w:t>Improved understanding of the timing, magnitude, and variability of freshwater availability enables water managers on Majuro to make informed decisions about resource allocation, operation of the airport runway catchment system, and preparedness for extended dry periods driven by ENSO</w:t>
      </w:r>
      <w:r w:rsidRPr="00657BB3">
        <w:noBreakHyphen/>
        <w:t>related climate variability. Potential development actions</w:t>
      </w:r>
      <w:r w:rsidR="00290256">
        <w:t xml:space="preserve">, </w:t>
      </w:r>
      <w:r w:rsidRPr="00657BB3">
        <w:t>such as enhancing rainwater harvesting capacity, expanding storage systems, and improving drought</w:t>
      </w:r>
      <w:r w:rsidRPr="00657BB3">
        <w:noBreakHyphen/>
        <w:t>response planning</w:t>
      </w:r>
      <w:r w:rsidR="00290256">
        <w:t xml:space="preserve">, </w:t>
      </w:r>
      <w:r w:rsidRPr="00657BB3">
        <w:t>depend on consistent, accessible hydrologic information. Satellite</w:t>
      </w:r>
      <w:r w:rsidRPr="00657BB3">
        <w:noBreakHyphen/>
        <w:t>based datasets offer an efficient and scalable way to meet these needs across Majuro’s remote and low</w:t>
      </w:r>
      <w:r w:rsidRPr="00657BB3">
        <w:noBreakHyphen/>
        <w:t>lying atoll environment, where ground</w:t>
      </w:r>
      <w:r w:rsidRPr="00657BB3">
        <w:noBreakHyphen/>
        <w:t>based monitoring is sparse and highly vulnerable to climate extremes.</w:t>
      </w:r>
    </w:p>
    <w:p w14:paraId="0A58F888" w14:textId="190EFB2B" w:rsidR="00657BB3" w:rsidRPr="00657BB3" w:rsidRDefault="00657BB3" w:rsidP="00657BB3">
      <w:pPr>
        <w:pStyle w:val="BodyText"/>
      </w:pPr>
      <w:r w:rsidRPr="00657BB3">
        <w:t>To help address these challenges, ADB and the U.S. Geological Survey (USGS) partnered to evaluate how Earth observation products can support water resource management in the RMI, with a focus on Majuro. This collaboration analyzes long</w:t>
      </w:r>
      <w:r w:rsidRPr="00657BB3">
        <w:noBreakHyphen/>
        <w:t>term satellite datasets for precipitation, evapotranspiration (ET), seasonal rainfall patterns, drought monitoring, and weather</w:t>
      </w:r>
      <w:r w:rsidRPr="00657BB3">
        <w:noBreakHyphen/>
        <w:t>forecasting indicators. The methods used to develop these datasets are detailed in Volume 1</w:t>
      </w:r>
      <w:r w:rsidR="00F74CCE">
        <w:t>, the</w:t>
      </w:r>
      <w:r w:rsidRPr="00657BB3">
        <w:t xml:space="preserve"> Overview of this series, while this volume applies those methods to the hydrologic and climate conditions relevant to Majuro Atoll.</w:t>
      </w:r>
    </w:p>
    <w:p w14:paraId="0DA3AA2A" w14:textId="77777777" w:rsidR="00560048" w:rsidRPr="00560048" w:rsidRDefault="00560048" w:rsidP="00560048">
      <w:pPr>
        <w:pStyle w:val="BodyText"/>
      </w:pPr>
    </w:p>
    <w:p w14:paraId="2B784E23" w14:textId="7F08BF66" w:rsidR="00840C50" w:rsidRDefault="00D42BB8" w:rsidP="00E37E53">
      <w:pPr>
        <w:pStyle w:val="Head1"/>
      </w:pPr>
      <w:bookmarkStart w:id="30" w:name="_Toc227693247"/>
      <w:r>
        <w:t>Purpose and Scope</w:t>
      </w:r>
      <w:bookmarkEnd w:id="30"/>
    </w:p>
    <w:p w14:paraId="797426AB" w14:textId="77777777" w:rsidR="00EF5841" w:rsidRPr="00EF5841" w:rsidRDefault="00EF5841" w:rsidP="00EF5841">
      <w:pPr>
        <w:pStyle w:val="BodyText"/>
      </w:pPr>
      <w:r w:rsidRPr="00EF5841">
        <w:t xml:space="preserve">This report presents the results of a collaborative effort by the U.S. Geological Survey (USGS) and the Asian Development Bank (ADB) to assess the applicability of remotely sensed Earth‑observation data for improving understanding of water‑resource conditions across the Republic of the Marshall Islands (RMI). The work supports regional efforts to address persistent </w:t>
      </w:r>
      <w:r w:rsidRPr="00EF5841">
        <w:lastRenderedPageBreak/>
        <w:t>water‑availability challenges on low‑lying Pacific atolls, where freshwater supplies are limited, thin groundwater lenses are vulnerable to salinization, and rainfall variability can result in extended periods of water scarcity.</w:t>
      </w:r>
    </w:p>
    <w:p w14:paraId="77FC6C26" w14:textId="77777777" w:rsidR="00EF5841" w:rsidRPr="00EF5841" w:rsidRDefault="00EF5841" w:rsidP="00EF5841">
      <w:pPr>
        <w:pStyle w:val="BodyText"/>
      </w:pPr>
      <w:r w:rsidRPr="00EF5841">
        <w:t>This volume documents the analytical components of the study and provides results for Majuro Atoll, the nation’s population and administrative center and the location of its most critical water‑supply infrastructure. The scope of the report includes satellite‑based assessments of precipitation, evapotranspiration, seasonal rainfall variability, drought‑monitoring indicators, and weather‑forecasting resources. Methods used to generate these datasets are presented in Volume 1 of this series; the present volume focuses on applying those methods within the Marshall Islands and summarizing the resulting water‑availability information.</w:t>
      </w:r>
    </w:p>
    <w:p w14:paraId="3095C27F" w14:textId="29CDDBBA" w:rsidR="00300310" w:rsidRPr="00B20840" w:rsidRDefault="00EF5841" w:rsidP="00EF5841">
      <w:pPr>
        <w:pStyle w:val="BodyText"/>
      </w:pPr>
      <w:r w:rsidRPr="00EF5841">
        <w:t>Each chapter describes the datasets used, outlines key processing steps, and presents the derived products for Majuro.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p>
    <w:p w14:paraId="699BB30A" w14:textId="5EBAFEC4" w:rsidR="00AB771E" w:rsidRDefault="00AB771E" w:rsidP="00AB771E">
      <w:pPr>
        <w:pStyle w:val="BodyText"/>
        <w:ind w:firstLine="0"/>
      </w:pPr>
    </w:p>
    <w:p w14:paraId="5F604AC1" w14:textId="751445F9" w:rsidR="00252367" w:rsidRPr="00B71D47" w:rsidRDefault="00CB6442" w:rsidP="00B71D47">
      <w:pPr>
        <w:pStyle w:val="Head1"/>
      </w:pPr>
      <w:bookmarkStart w:id="31" w:name="_Toc227693248"/>
      <w:r w:rsidRPr="00B71D47">
        <w:t>Republic of the Marshall Islands</w:t>
      </w:r>
      <w:bookmarkEnd w:id="31"/>
    </w:p>
    <w:p w14:paraId="678F318C" w14:textId="31303339" w:rsidR="00952034" w:rsidRDefault="00952034" w:rsidP="00952034">
      <w:pPr>
        <w:pStyle w:val="BodyText"/>
      </w:pPr>
      <w:r w:rsidRPr="00952034">
        <w:t>Beginning in 2024, the USGS entered a collaborative relationship with ADB to assess the utility of various remotely sensed datasets for improving water</w:t>
      </w:r>
      <w:r w:rsidRPr="00952034">
        <w:noBreakHyphen/>
        <w:t>resource management within the Republic of the Marshall Islands (RMI), a widely dispersed island nation consisting of 29 atolls and 5 isolated low islands extending across a broad expanse of the central Pacific between approximately 4° and 14° north latitude (</w:t>
      </w:r>
      <w:r w:rsidR="000F43F2">
        <w:fldChar w:fldCharType="begin"/>
      </w:r>
      <w:r w:rsidR="000F43F2">
        <w:instrText xml:space="preserve"> REF _Ref227131526 \h </w:instrText>
      </w:r>
      <w:r w:rsidR="000F43F2">
        <w:fldChar w:fldCharType="separate"/>
      </w:r>
      <w:r w:rsidR="000F43F2" w:rsidRPr="00926145">
        <w:rPr>
          <w:rFonts w:ascii="Arial Narrow" w:hAnsi="Arial Narrow"/>
        </w:rPr>
        <w:t xml:space="preserve">Figure </w:t>
      </w:r>
      <w:r w:rsidR="000F43F2">
        <w:rPr>
          <w:rFonts w:ascii="Arial Narrow" w:hAnsi="Arial Narrow"/>
          <w:noProof/>
        </w:rPr>
        <w:t>1</w:t>
      </w:r>
      <w:r w:rsidR="000F43F2">
        <w:fldChar w:fldCharType="end"/>
      </w:r>
      <w:r w:rsidRPr="00952034">
        <w:t>). The capital atoll of Majuro</w:t>
      </w:r>
      <w:r w:rsidR="00926145">
        <w:t xml:space="preserve"> is </w:t>
      </w:r>
      <w:r w:rsidRPr="00952034">
        <w:t xml:space="preserve">home to the </w:t>
      </w:r>
      <w:r w:rsidRPr="00952034">
        <w:lastRenderedPageBreak/>
        <w:t>nation’s highest population density and most critical water</w:t>
      </w:r>
      <w:r w:rsidRPr="00952034">
        <w:noBreakHyphen/>
        <w:t>supply infrastructure</w:t>
      </w:r>
      <w:r w:rsidR="00926145">
        <w:t xml:space="preserve"> which </w:t>
      </w:r>
      <w:r w:rsidRPr="00952034">
        <w:t>serves as the primary geographic focus for this volume.</w:t>
      </w:r>
    </w:p>
    <w:p w14:paraId="3FDDCF83" w14:textId="1ED912A3" w:rsidR="008E6AF1" w:rsidRPr="00952034" w:rsidRDefault="008E6AF1" w:rsidP="00952034">
      <w:pPr>
        <w:pStyle w:val="BodyText"/>
      </w:pPr>
      <w:r>
        <w:rPr>
          <w:noProof/>
        </w:rPr>
        <w:drawing>
          <wp:inline distT="0" distB="0" distL="0" distR="0" wp14:anchorId="08ACBBEE" wp14:editId="5959E7B1">
            <wp:extent cx="5943600" cy="5873115"/>
            <wp:effectExtent l="0" t="0" r="0" b="0"/>
            <wp:docPr id="2141746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746299" name="Picture 2141746299"/>
                    <pic:cNvPicPr/>
                  </pic:nvPicPr>
                  <pic:blipFill>
                    <a:blip r:embed="rId11"/>
                    <a:stretch>
                      <a:fillRect/>
                    </a:stretch>
                  </pic:blipFill>
                  <pic:spPr>
                    <a:xfrm>
                      <a:off x="0" y="0"/>
                      <a:ext cx="5943600" cy="5873115"/>
                    </a:xfrm>
                    <a:prstGeom prst="rect">
                      <a:avLst/>
                    </a:prstGeom>
                  </pic:spPr>
                </pic:pic>
              </a:graphicData>
            </a:graphic>
          </wp:inline>
        </w:drawing>
      </w:r>
    </w:p>
    <w:p w14:paraId="70A60D37" w14:textId="36AD0AEF" w:rsidR="00926145" w:rsidRPr="00926145" w:rsidRDefault="00926145" w:rsidP="00926145">
      <w:pPr>
        <w:pStyle w:val="Caption"/>
        <w:rPr>
          <w:rFonts w:ascii="Arial Narrow" w:hAnsi="Arial Narrow"/>
        </w:rPr>
      </w:pPr>
      <w:bookmarkStart w:id="32" w:name="_Ref227131526"/>
      <w:bookmarkStart w:id="33" w:name="_Toc228286440"/>
      <w:r w:rsidRPr="00926145">
        <w:rPr>
          <w:rFonts w:ascii="Arial Narrow" w:hAnsi="Arial Narrow"/>
        </w:rPr>
        <w:t xml:space="preserve">Figure </w:t>
      </w:r>
      <w:r w:rsidRPr="00926145">
        <w:rPr>
          <w:rFonts w:ascii="Arial Narrow" w:hAnsi="Arial Narrow"/>
        </w:rPr>
        <w:fldChar w:fldCharType="begin"/>
      </w:r>
      <w:r w:rsidRPr="00926145">
        <w:rPr>
          <w:rFonts w:ascii="Arial Narrow" w:hAnsi="Arial Narrow"/>
        </w:rPr>
        <w:instrText xml:space="preserve"> SEQ Figure \* ARABIC </w:instrText>
      </w:r>
      <w:r w:rsidRPr="00926145">
        <w:rPr>
          <w:rFonts w:ascii="Arial Narrow" w:hAnsi="Arial Narrow"/>
        </w:rPr>
        <w:fldChar w:fldCharType="separate"/>
      </w:r>
      <w:r w:rsidR="002614BE">
        <w:rPr>
          <w:rFonts w:ascii="Arial Narrow" w:hAnsi="Arial Narrow"/>
          <w:noProof/>
        </w:rPr>
        <w:t>1</w:t>
      </w:r>
      <w:r w:rsidRPr="00926145">
        <w:rPr>
          <w:rFonts w:ascii="Arial Narrow" w:hAnsi="Arial Narrow"/>
        </w:rPr>
        <w:fldChar w:fldCharType="end"/>
      </w:r>
      <w:bookmarkEnd w:id="32"/>
      <w:r w:rsidRPr="00926145">
        <w:rPr>
          <w:rFonts w:ascii="Arial Narrow" w:hAnsi="Arial Narrow"/>
        </w:rPr>
        <w:t>. Map of Western Pacific Ocean Island Nations. The Geographic Coordinate System is WGS84. Sources: Esri, TomTom, FAO, NOAA, USGS.</w:t>
      </w:r>
      <w:bookmarkEnd w:id="33"/>
    </w:p>
    <w:p w14:paraId="7B6CA897" w14:textId="28236352" w:rsidR="00952034" w:rsidRPr="00952034" w:rsidRDefault="00952034" w:rsidP="00952034">
      <w:pPr>
        <w:pStyle w:val="BodyText"/>
        <w:rPr>
          <w:rFonts w:ascii="Arial Narrow" w:hAnsi="Arial Narrow"/>
        </w:rPr>
      </w:pPr>
      <w:r w:rsidRPr="00952034">
        <w:rPr>
          <w:rFonts w:ascii="Arial Narrow" w:hAnsi="Arial Narrow"/>
        </w:rPr>
        <w:t>Alt text: A map showing the Western Pacific Ocean island nations. The map uses the WGS84 geographic coordinate system and includes data sources from Esri, TomTom, FAO, NOAA, and USGS.</w:t>
      </w:r>
    </w:p>
    <w:p w14:paraId="3042E192" w14:textId="77777777" w:rsidR="00926145" w:rsidRDefault="00926145" w:rsidP="00952034">
      <w:pPr>
        <w:pStyle w:val="BodyText"/>
      </w:pPr>
    </w:p>
    <w:p w14:paraId="128C95CE" w14:textId="523B6B97" w:rsidR="00952034" w:rsidRDefault="00952034" w:rsidP="00952034">
      <w:pPr>
        <w:pStyle w:val="BodyText"/>
      </w:pPr>
      <w:r w:rsidRPr="00952034">
        <w:t>As low</w:t>
      </w:r>
      <w:r w:rsidRPr="00952034">
        <w:noBreakHyphen/>
        <w:t>lying coral atolls, the Marshall Islands lack rivers, high</w:t>
      </w:r>
      <w:r w:rsidRPr="00952034">
        <w:noBreakHyphen/>
        <w:t>elevation catchments, or significant surface</w:t>
      </w:r>
      <w:r w:rsidRPr="00952034">
        <w:noBreakHyphen/>
        <w:t>water storage</w:t>
      </w:r>
      <w:r w:rsidR="00871B4E">
        <w:t xml:space="preserve"> (Koda, 2018)</w:t>
      </w:r>
      <w:r w:rsidRPr="00952034">
        <w:t>. Instead, freshwater availability depends primarily on thin, fragile freshwater lenses beneath narrow islets, supplemented by rainwater harvesting and, in Majuro’s case, a combination of rainwater collection and the airport</w:t>
      </w:r>
      <w:r w:rsidRPr="00952034">
        <w:noBreakHyphen/>
        <w:t>runway catchment system</w:t>
      </w:r>
      <w:r w:rsidR="00F02391">
        <w:t xml:space="preserve"> (</w:t>
      </w:r>
      <w:r w:rsidR="00E74BC5">
        <w:t>Presley, 2005; Yoshimoto and others, 2020)</w:t>
      </w:r>
      <w:r w:rsidRPr="00952034">
        <w:t>. These freshwater resources are extremely sensitive to short</w:t>
      </w:r>
      <w:r w:rsidRPr="00952034">
        <w:noBreakHyphen/>
        <w:t xml:space="preserve"> and long</w:t>
      </w:r>
      <w:r w:rsidRPr="00952034">
        <w:noBreakHyphen/>
        <w:t>term variations in precipitation, evapotranspiration, storm</w:t>
      </w:r>
      <w:r w:rsidRPr="00952034">
        <w:noBreakHyphen/>
        <w:t xml:space="preserve">driven </w:t>
      </w:r>
      <w:proofErr w:type="spellStart"/>
      <w:r w:rsidRPr="00952034">
        <w:t>overwash</w:t>
      </w:r>
      <w:proofErr w:type="spellEnd"/>
      <w:r w:rsidRPr="00952034">
        <w:t>, king tides, and sea</w:t>
      </w:r>
      <w:r w:rsidRPr="00952034">
        <w:noBreakHyphen/>
        <w:t>level rise. ENSO</w:t>
      </w:r>
      <w:r w:rsidRPr="00952034">
        <w:noBreakHyphen/>
        <w:t>related droughts can significantly reduce recharge for extended periods, contributing to some of the most acute water</w:t>
      </w:r>
      <w:r w:rsidRPr="00952034">
        <w:noBreakHyphen/>
        <w:t>supply vulnerabilities in the Pacific region</w:t>
      </w:r>
      <w:r w:rsidR="00B1628C">
        <w:t xml:space="preserve"> (</w:t>
      </w:r>
      <w:r w:rsidR="000F43F2">
        <w:fldChar w:fldCharType="begin"/>
      </w:r>
      <w:r w:rsidR="000F43F2">
        <w:instrText xml:space="preserve"> REF _Ref227131503 \h </w:instrText>
      </w:r>
      <w:r w:rsidR="000F43F2">
        <w:fldChar w:fldCharType="separate"/>
      </w:r>
      <w:r w:rsidR="000F43F2" w:rsidRPr="004E5512">
        <w:rPr>
          <w:rFonts w:ascii="Arial Narrow" w:hAnsi="Arial Narrow"/>
        </w:rPr>
        <w:t xml:space="preserve">Figure </w:t>
      </w:r>
      <w:r w:rsidR="000F43F2" w:rsidRPr="004E5512">
        <w:rPr>
          <w:rFonts w:ascii="Arial Narrow" w:hAnsi="Arial Narrow"/>
          <w:noProof/>
        </w:rPr>
        <w:t>2</w:t>
      </w:r>
      <w:r w:rsidR="000F43F2">
        <w:fldChar w:fldCharType="end"/>
      </w:r>
      <w:r w:rsidR="00B1628C">
        <w:t>)</w:t>
      </w:r>
      <w:r w:rsidRPr="00952034">
        <w:t>.</w:t>
      </w:r>
    </w:p>
    <w:p w14:paraId="5DA15128" w14:textId="6B2F510C" w:rsidR="00B1628C" w:rsidRDefault="00B1628C" w:rsidP="003177B5">
      <w:pPr>
        <w:pStyle w:val="BodyText"/>
        <w:ind w:firstLine="0"/>
      </w:pPr>
      <w:r>
        <w:rPr>
          <w:noProof/>
        </w:rPr>
        <w:drawing>
          <wp:inline distT="0" distB="0" distL="0" distR="0" wp14:anchorId="4ABDC50F" wp14:editId="3496A445">
            <wp:extent cx="6028660" cy="3826045"/>
            <wp:effectExtent l="0" t="0" r="0" b="3175"/>
            <wp:docPr id="319152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52657" name="Picture 2"/>
                    <pic:cNvPicPr/>
                  </pic:nvPicPr>
                  <pic:blipFill>
                    <a:blip r:embed="rId12"/>
                    <a:stretch>
                      <a:fillRect/>
                    </a:stretch>
                  </pic:blipFill>
                  <pic:spPr>
                    <a:xfrm>
                      <a:off x="0" y="0"/>
                      <a:ext cx="6039967" cy="3833221"/>
                    </a:xfrm>
                    <a:prstGeom prst="rect">
                      <a:avLst/>
                    </a:prstGeom>
                  </pic:spPr>
                </pic:pic>
              </a:graphicData>
            </a:graphic>
          </wp:inline>
        </w:drawing>
      </w:r>
    </w:p>
    <w:p w14:paraId="1A6816CC" w14:textId="335ED577" w:rsidR="004E5512" w:rsidRPr="004E5512" w:rsidRDefault="004E5512" w:rsidP="004E5512">
      <w:pPr>
        <w:pStyle w:val="Caption"/>
        <w:rPr>
          <w:rFonts w:ascii="Arial Narrow" w:hAnsi="Arial Narrow"/>
        </w:rPr>
      </w:pPr>
      <w:bookmarkStart w:id="34" w:name="_Ref227131503"/>
      <w:bookmarkStart w:id="35" w:name="_Toc228286441"/>
      <w:r w:rsidRPr="004E5512">
        <w:rPr>
          <w:rFonts w:ascii="Arial Narrow" w:hAnsi="Arial Narrow"/>
        </w:rPr>
        <w:t xml:space="preserve">Figure </w:t>
      </w:r>
      <w:r w:rsidRPr="004E5512">
        <w:rPr>
          <w:rFonts w:ascii="Arial Narrow" w:hAnsi="Arial Narrow"/>
        </w:rPr>
        <w:fldChar w:fldCharType="begin"/>
      </w:r>
      <w:r w:rsidRPr="004E5512">
        <w:rPr>
          <w:rFonts w:ascii="Arial Narrow" w:hAnsi="Arial Narrow"/>
        </w:rPr>
        <w:instrText xml:space="preserve"> SEQ Figure \* ARABIC </w:instrText>
      </w:r>
      <w:r w:rsidRPr="004E5512">
        <w:rPr>
          <w:rFonts w:ascii="Arial Narrow" w:hAnsi="Arial Narrow"/>
        </w:rPr>
        <w:fldChar w:fldCharType="separate"/>
      </w:r>
      <w:r w:rsidR="002614BE">
        <w:rPr>
          <w:rFonts w:ascii="Arial Narrow" w:hAnsi="Arial Narrow"/>
          <w:noProof/>
        </w:rPr>
        <w:t>2</w:t>
      </w:r>
      <w:r w:rsidRPr="004E5512">
        <w:rPr>
          <w:rFonts w:ascii="Arial Narrow" w:hAnsi="Arial Narrow"/>
        </w:rPr>
        <w:fldChar w:fldCharType="end"/>
      </w:r>
      <w:bookmarkEnd w:id="34"/>
      <w:r w:rsidRPr="004E5512">
        <w:rPr>
          <w:rFonts w:ascii="Arial Narrow" w:hAnsi="Arial Narrow"/>
        </w:rPr>
        <w:t>. Map of Republic of the Marshall Islands. The Geographic Coordinate System is WGS84. Sources: Esri, TomTom, FAO, NOAA, USGS.</w:t>
      </w:r>
      <w:bookmarkEnd w:id="35"/>
    </w:p>
    <w:p w14:paraId="10B35482" w14:textId="64B135EB" w:rsidR="00B1628C" w:rsidRPr="00952034" w:rsidRDefault="00B1628C" w:rsidP="00B1628C">
      <w:pPr>
        <w:pStyle w:val="BodyText"/>
        <w:rPr>
          <w:rFonts w:ascii="Arial Narrow" w:hAnsi="Arial Narrow"/>
        </w:rPr>
      </w:pPr>
      <w:r w:rsidRPr="00952034">
        <w:rPr>
          <w:rFonts w:ascii="Arial Narrow" w:hAnsi="Arial Narrow"/>
        </w:rPr>
        <w:lastRenderedPageBreak/>
        <w:t xml:space="preserve">Alt text: A map showing the Map of </w:t>
      </w:r>
      <w:r w:rsidR="005D1B6A">
        <w:rPr>
          <w:rFonts w:ascii="Arial Narrow" w:hAnsi="Arial Narrow"/>
        </w:rPr>
        <w:t xml:space="preserve">the </w:t>
      </w:r>
      <w:r w:rsidRPr="00952034">
        <w:rPr>
          <w:rFonts w:ascii="Arial Narrow" w:hAnsi="Arial Narrow"/>
        </w:rPr>
        <w:t>Republic of the Marshall Islands. The map uses the WGS84 geographic coordinate system and includes data sources from Esri, TomTom, FAO, NOAA, and USGS.</w:t>
      </w:r>
    </w:p>
    <w:p w14:paraId="365BB782" w14:textId="3FFBA738" w:rsidR="00952034" w:rsidRPr="00952034" w:rsidRDefault="00952034" w:rsidP="00A509D2">
      <w:pPr>
        <w:pStyle w:val="BodyText"/>
      </w:pPr>
      <w:r w:rsidRPr="00952034">
        <w:t>Tectonically, the Marshall Islands lie on the stable Pacific Plate and experience minimal seismic activity</w:t>
      </w:r>
      <w:r w:rsidR="00F23AE1">
        <w:t xml:space="preserve"> (</w:t>
      </w:r>
      <w:proofErr w:type="spellStart"/>
      <w:r w:rsidR="00F23AE1">
        <w:t>QuakeFYI</w:t>
      </w:r>
      <w:proofErr w:type="spellEnd"/>
      <w:r w:rsidR="00F23AE1">
        <w:t>, 2026)</w:t>
      </w:r>
      <w:r w:rsidRPr="00952034">
        <w:t xml:space="preserve">; however, their geologic foundation as coral reef structures built atop submerged volcanic platforms makes them highly susceptible to coastal erosion, land </w:t>
      </w:r>
      <w:r w:rsidRPr="00A509D2">
        <w:t>loss, and saline intrusion</w:t>
      </w:r>
      <w:r w:rsidR="00D7136F" w:rsidRPr="00A509D2">
        <w:t xml:space="preserve"> (</w:t>
      </w:r>
      <w:r w:rsidR="00FB5E10" w:rsidRPr="00A509D2">
        <w:t xml:space="preserve">Xue, 2001; </w:t>
      </w:r>
      <w:r w:rsidR="00A509D2" w:rsidRPr="00A509D2">
        <w:t>Marshall Islands Conservation Society, 2026</w:t>
      </w:r>
      <w:r w:rsidR="00D7136F" w:rsidRPr="00A509D2">
        <w:t>)</w:t>
      </w:r>
      <w:r w:rsidRPr="00A509D2">
        <w:t>. The very</w:t>
      </w:r>
      <w:r w:rsidRPr="00952034">
        <w:t xml:space="preserve"> low elevations of Majuro’s islets</w:t>
      </w:r>
      <w:r w:rsidR="006F662C">
        <w:t xml:space="preserve">, </w:t>
      </w:r>
      <w:r w:rsidRPr="00952034">
        <w:t>often only 1 to 3 meters above mean sea level</w:t>
      </w:r>
      <w:r w:rsidR="006F662C">
        <w:t xml:space="preserve">, </w:t>
      </w:r>
      <w:r w:rsidRPr="00952034">
        <w:t>amplify the hydrologic impact of ocean</w:t>
      </w:r>
      <w:r w:rsidRPr="00952034">
        <w:noBreakHyphen/>
        <w:t>driven hazards and limit opportunities for expanding conventional water</w:t>
      </w:r>
      <w:r w:rsidRPr="00952034">
        <w:noBreakHyphen/>
        <w:t>storage systems. In consultation with RMI water authorities, ADB prioritized the development of improved precipitation, evapotranspiration, water</w:t>
      </w:r>
      <w:r w:rsidRPr="00952034">
        <w:noBreakHyphen/>
        <w:t>balance, and drought</w:t>
      </w:r>
      <w:r w:rsidRPr="00952034">
        <w:noBreakHyphen/>
        <w:t>monitoring datasets for Majuro, reflecting the atoll’s high exposure to climate variability and its national importance as the political and population center.</w:t>
      </w:r>
    </w:p>
    <w:p w14:paraId="3CBD115E" w14:textId="77777777" w:rsidR="00680A00" w:rsidRDefault="00680A00" w:rsidP="00680A00">
      <w:pPr>
        <w:pStyle w:val="BodyText"/>
        <w:ind w:firstLine="0"/>
      </w:pPr>
    </w:p>
    <w:p w14:paraId="04B3C89B" w14:textId="7525B7B2" w:rsidR="00B71D47" w:rsidRDefault="00B71D47" w:rsidP="00B71D47">
      <w:pPr>
        <w:pStyle w:val="Head2"/>
      </w:pPr>
      <w:bookmarkStart w:id="36" w:name="_Toc227693249"/>
      <w:r>
        <w:t>Majuro</w:t>
      </w:r>
      <w:r w:rsidR="003F0795">
        <w:t xml:space="preserve"> Atoll</w:t>
      </w:r>
      <w:bookmarkEnd w:id="36"/>
    </w:p>
    <w:p w14:paraId="0890173B" w14:textId="014D1233" w:rsidR="00D321DB" w:rsidRPr="00D321DB" w:rsidRDefault="00D321DB" w:rsidP="00D321DB">
      <w:pPr>
        <w:pStyle w:val="BodyText"/>
      </w:pPr>
      <w:r w:rsidRPr="00D321DB">
        <w:t>Majuro Atoll, located near 7°N and 171°E, is the administrative and population center of the Republic of the Marshall Islands and consists of a narrow chain of low</w:t>
      </w:r>
      <w:r w:rsidRPr="00D321DB">
        <w:noBreakHyphen/>
        <w:t>lying islets encircling a large lagoon</w:t>
      </w:r>
      <w:r>
        <w:t xml:space="preserve"> (</w:t>
      </w:r>
      <w:r w:rsidR="00606DE3">
        <w:fldChar w:fldCharType="begin"/>
      </w:r>
      <w:r w:rsidR="00606DE3">
        <w:instrText xml:space="preserve"> REF _Ref227131880 \h </w:instrText>
      </w:r>
      <w:r w:rsidR="00606DE3">
        <w:fldChar w:fldCharType="separate"/>
      </w:r>
      <w:r w:rsidR="00606DE3" w:rsidRPr="00606DE3">
        <w:rPr>
          <w:rFonts w:ascii="Arial Narrow" w:hAnsi="Arial Narrow"/>
        </w:rPr>
        <w:t xml:space="preserve">Figure </w:t>
      </w:r>
      <w:r w:rsidR="00606DE3" w:rsidRPr="00606DE3">
        <w:rPr>
          <w:rFonts w:ascii="Arial Narrow" w:hAnsi="Arial Narrow"/>
          <w:noProof/>
        </w:rPr>
        <w:t>3</w:t>
      </w:r>
      <w:r w:rsidR="00606DE3">
        <w:fldChar w:fldCharType="end"/>
      </w:r>
      <w:r>
        <w:t>)</w:t>
      </w:r>
      <w:r w:rsidRPr="00D321DB">
        <w:t>. Typical elevations range from 1 to 3 meters above mean sea level, and land widths commonly measure only a few hundred meters. This geomorphology reflects Majuro’s formation as a coral atoll built atop a submerged volcanic platform, resulting in extremely limited terrestrial storage capacity and an absence of surface</w:t>
      </w:r>
      <w:r w:rsidRPr="00D321DB">
        <w:noBreakHyphen/>
        <w:t>water systems.</w:t>
      </w:r>
    </w:p>
    <w:p w14:paraId="38DBB9D2" w14:textId="58104245" w:rsidR="0037689F" w:rsidRDefault="00AE27AF" w:rsidP="003177B5">
      <w:pPr>
        <w:pStyle w:val="BodyText"/>
        <w:ind w:firstLine="0"/>
      </w:pPr>
      <w:r>
        <w:rPr>
          <w:noProof/>
        </w:rPr>
        <w:lastRenderedPageBreak/>
        <w:drawing>
          <wp:inline distT="0" distB="0" distL="0" distR="0" wp14:anchorId="02CB24B1" wp14:editId="418D4079">
            <wp:extent cx="5284381" cy="2987461"/>
            <wp:effectExtent l="0" t="0" r="0" b="3810"/>
            <wp:docPr id="97812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2710" name="Picture 97812710"/>
                    <pic:cNvPicPr/>
                  </pic:nvPicPr>
                  <pic:blipFill>
                    <a:blip r:embed="rId13"/>
                    <a:stretch>
                      <a:fillRect/>
                    </a:stretch>
                  </pic:blipFill>
                  <pic:spPr>
                    <a:xfrm>
                      <a:off x="0" y="0"/>
                      <a:ext cx="5305589" cy="2999451"/>
                    </a:xfrm>
                    <a:prstGeom prst="rect">
                      <a:avLst/>
                    </a:prstGeom>
                  </pic:spPr>
                </pic:pic>
              </a:graphicData>
            </a:graphic>
          </wp:inline>
        </w:drawing>
      </w:r>
    </w:p>
    <w:p w14:paraId="2DC21446" w14:textId="450B0D5A" w:rsidR="00AE27AF" w:rsidRPr="00606DE3" w:rsidRDefault="00606DE3" w:rsidP="00606DE3">
      <w:pPr>
        <w:pStyle w:val="Caption"/>
        <w:rPr>
          <w:rFonts w:ascii="Arial Narrow" w:hAnsi="Arial Narrow"/>
        </w:rPr>
      </w:pPr>
      <w:bookmarkStart w:id="37" w:name="_Ref227131880"/>
      <w:bookmarkStart w:id="38" w:name="_Toc228286442"/>
      <w:r w:rsidRPr="00606DE3">
        <w:rPr>
          <w:rFonts w:ascii="Arial Narrow" w:hAnsi="Arial Narrow"/>
        </w:rPr>
        <w:t xml:space="preserve">Figure </w:t>
      </w:r>
      <w:r w:rsidRPr="00606DE3">
        <w:rPr>
          <w:rFonts w:ascii="Arial Narrow" w:hAnsi="Arial Narrow"/>
        </w:rPr>
        <w:fldChar w:fldCharType="begin"/>
      </w:r>
      <w:r w:rsidRPr="00606DE3">
        <w:rPr>
          <w:rFonts w:ascii="Arial Narrow" w:hAnsi="Arial Narrow"/>
        </w:rPr>
        <w:instrText xml:space="preserve"> SEQ Figure \* ARABIC </w:instrText>
      </w:r>
      <w:r w:rsidRPr="00606DE3">
        <w:rPr>
          <w:rFonts w:ascii="Arial Narrow" w:hAnsi="Arial Narrow"/>
        </w:rPr>
        <w:fldChar w:fldCharType="separate"/>
      </w:r>
      <w:r w:rsidR="002614BE">
        <w:rPr>
          <w:rFonts w:ascii="Arial Narrow" w:hAnsi="Arial Narrow"/>
          <w:noProof/>
        </w:rPr>
        <w:t>3</w:t>
      </w:r>
      <w:r w:rsidRPr="00606DE3">
        <w:rPr>
          <w:rFonts w:ascii="Arial Narrow" w:hAnsi="Arial Narrow"/>
        </w:rPr>
        <w:fldChar w:fldCharType="end"/>
      </w:r>
      <w:bookmarkEnd w:id="37"/>
      <w:r w:rsidRPr="00606DE3">
        <w:rPr>
          <w:rFonts w:ascii="Arial Narrow" w:hAnsi="Arial Narrow"/>
        </w:rPr>
        <w:t>. Map of the Majuro Atoll. The Geographic Coordinate System is WGS84. Sources: Esri, TomTom, FAO, NOAA, USGS.</w:t>
      </w:r>
      <w:bookmarkEnd w:id="38"/>
    </w:p>
    <w:p w14:paraId="584803C9" w14:textId="1F6DE66B" w:rsidR="00EB693D" w:rsidRPr="00952034" w:rsidRDefault="00EB693D" w:rsidP="00EB693D">
      <w:pPr>
        <w:pStyle w:val="BodyText"/>
        <w:rPr>
          <w:rFonts w:ascii="Arial Narrow" w:hAnsi="Arial Narrow"/>
        </w:rPr>
      </w:pPr>
      <w:r w:rsidRPr="00952034">
        <w:rPr>
          <w:rFonts w:ascii="Arial Narrow" w:hAnsi="Arial Narrow"/>
        </w:rPr>
        <w:t xml:space="preserve">Alt text: </w:t>
      </w:r>
      <w:r w:rsidR="00606DE3" w:rsidRPr="00606DE3">
        <w:rPr>
          <w:rFonts w:ascii="Arial Narrow" w:hAnsi="Arial Narrow"/>
        </w:rPr>
        <w:t>Map of the Majuro Atoll.</w:t>
      </w:r>
      <w:r w:rsidRPr="00952034">
        <w:rPr>
          <w:rFonts w:ascii="Arial Narrow" w:hAnsi="Arial Narrow"/>
        </w:rPr>
        <w:t xml:space="preserve"> The map uses the WGS84 geographic coordinate system and includes data sources from Esri, TomTom, FAO, NOAA, and USGS.</w:t>
      </w:r>
    </w:p>
    <w:p w14:paraId="3571B982" w14:textId="00507027" w:rsidR="00D321DB" w:rsidRPr="00D321DB" w:rsidRDefault="00D321DB" w:rsidP="00D321DB">
      <w:pPr>
        <w:pStyle w:val="BodyText"/>
      </w:pPr>
      <w:r w:rsidRPr="00D321DB">
        <w:t>Freshwater availability on Majuro depends primarily on a fragile freshwater lens that forms within the thin, permeable limestone beneath the islets</w:t>
      </w:r>
      <w:r w:rsidR="00541295">
        <w:t xml:space="preserve"> (Anthony and others, 1989; Yoshimoto and others, 2020</w:t>
      </w:r>
      <w:r w:rsidR="00F53741">
        <w:t>)</w:t>
      </w:r>
      <w:r w:rsidRPr="00D321DB">
        <w:t>. The thickness and quality of this lens fluctuate with rainfall, evapotranspiration, tidal forcing, and saline intrusion. Because Majuro has no perennial streams and minimal natural storage, rainfall variability strongly influences water supply. Droughts associated with ENSO events can lead to rapid depletion of the freshwater lens, forcing reliance on rainwater harvesting, rationing, and desalination. Conversely, heavy rainfall or storm</w:t>
      </w:r>
      <w:r w:rsidRPr="00D321DB">
        <w:noBreakHyphen/>
        <w:t xml:space="preserve">driven inundation can contaminate the lens through </w:t>
      </w:r>
      <w:proofErr w:type="spellStart"/>
      <w:r w:rsidRPr="00D321DB">
        <w:t>overwash</w:t>
      </w:r>
      <w:proofErr w:type="spellEnd"/>
      <w:r w:rsidRPr="00D321DB">
        <w:t xml:space="preserve"> or mixing with saline groundwater.</w:t>
      </w:r>
    </w:p>
    <w:p w14:paraId="66E6893D" w14:textId="77777777" w:rsidR="00D321DB" w:rsidRPr="00D321DB" w:rsidRDefault="00D321DB" w:rsidP="00D321DB">
      <w:pPr>
        <w:pStyle w:val="BodyText"/>
      </w:pPr>
      <w:r w:rsidRPr="00D321DB">
        <w:t xml:space="preserve">To supplement natural recharge, Majuro employs one of the largest engineered </w:t>
      </w:r>
      <w:proofErr w:type="gramStart"/>
      <w:r w:rsidRPr="00D321DB">
        <w:t>rainwater</w:t>
      </w:r>
      <w:proofErr w:type="gramEnd"/>
      <w:r w:rsidRPr="00D321DB">
        <w:noBreakHyphen/>
        <w:t xml:space="preserve">capture systems in the Pacific, using the international airport runway as an impervious </w:t>
      </w:r>
      <w:r w:rsidRPr="00D321DB">
        <w:lastRenderedPageBreak/>
        <w:t>catchment to supply the central reservoir system. Despite this infrastructure, water security remains highly sensitive to precipitation patterns, sea</w:t>
      </w:r>
      <w:r w:rsidRPr="00D321DB">
        <w:noBreakHyphen/>
        <w:t>level variability, storm tides, and contamination risks. The atoll’s very low elevation and narrow landmass increase exposure to coastal flooding, king</w:t>
      </w:r>
      <w:r w:rsidRPr="00D321DB">
        <w:noBreakHyphen/>
        <w:t>tide events, and long</w:t>
      </w:r>
      <w:r w:rsidRPr="00D321DB">
        <w:noBreakHyphen/>
        <w:t>term sea</w:t>
      </w:r>
      <w:r w:rsidRPr="00D321DB">
        <w:noBreakHyphen/>
        <w:t>level rise, all of which threaten freshwater quantity and quality.</w:t>
      </w:r>
    </w:p>
    <w:p w14:paraId="352BE145" w14:textId="77777777" w:rsidR="00D321DB" w:rsidRPr="00D321DB" w:rsidRDefault="00D321DB" w:rsidP="00D321DB">
      <w:pPr>
        <w:pStyle w:val="BodyText"/>
      </w:pPr>
      <w:r w:rsidRPr="00D321DB">
        <w:t>Given these constraints, remotely sensed datasets related to precipitation, evapotranspiration, drought monitoring, and extreme</w:t>
      </w:r>
      <w:r w:rsidRPr="00D321DB">
        <w:noBreakHyphen/>
        <w:t>event detection provide critical information for supporting water</w:t>
      </w:r>
      <w:r w:rsidRPr="00D321DB">
        <w:noBreakHyphen/>
        <w:t>resource planning on Majuro. The data products in this volume help characterize temporal variability in rainfall, assess periods of hydrologic stress, and inform management decisions for a water system with minimal natural buffering capacity.</w:t>
      </w:r>
    </w:p>
    <w:p w14:paraId="6E463321" w14:textId="77777777" w:rsidR="0037689F" w:rsidRDefault="0037689F" w:rsidP="00D321DB">
      <w:pPr>
        <w:pStyle w:val="BodyText"/>
      </w:pPr>
    </w:p>
    <w:p w14:paraId="0A6261A2" w14:textId="037D9B19" w:rsidR="003F6628" w:rsidRDefault="00143020" w:rsidP="003B1806">
      <w:pPr>
        <w:pStyle w:val="Head3"/>
      </w:pPr>
      <w:bookmarkStart w:id="39" w:name="_Toc227693250"/>
      <w:r w:rsidRPr="003B1806">
        <w:t>Precip</w:t>
      </w:r>
      <w:r w:rsidR="004B5462" w:rsidRPr="003B1806">
        <w:t>itation</w:t>
      </w:r>
      <w:bookmarkEnd w:id="39"/>
    </w:p>
    <w:p w14:paraId="17EF4333" w14:textId="50BB76AC" w:rsidR="00695F45" w:rsidRDefault="00695F45" w:rsidP="00695F45">
      <w:pPr>
        <w:pStyle w:val="BodyText"/>
      </w:pPr>
      <w:r w:rsidRPr="00766F3C">
        <w:t xml:space="preserve">Precipitation is the primary source of freshwater across </w:t>
      </w:r>
      <w:proofErr w:type="gramStart"/>
      <w:r w:rsidRPr="00766F3C">
        <w:t>Pacific island</w:t>
      </w:r>
      <w:proofErr w:type="gramEnd"/>
      <w:r w:rsidRPr="00766F3C">
        <w:t xml:space="preserve"> environments,</w:t>
      </w:r>
      <w:r>
        <w:t xml:space="preserve"> b</w:t>
      </w:r>
      <w:r w:rsidRPr="00280632">
        <w:t>ecause islands lack the buffering capacity of large watersheds or reservoirs</w:t>
      </w:r>
      <w:r>
        <w:t xml:space="preserve"> (Tribble, 2008). Therefore,</w:t>
      </w:r>
      <w:r w:rsidRPr="00280632">
        <w:t xml:space="preserve"> understanding spatial and temporal rainfall variability is essential for evaluating water availability, assessing drought risk, and guiding sustainable management of hydrologic resources</w:t>
      </w:r>
      <w:r w:rsidR="00E161FA">
        <w:t xml:space="preserve"> (</w:t>
      </w:r>
      <w:r w:rsidR="002614BE">
        <w:fldChar w:fldCharType="begin"/>
      </w:r>
      <w:r w:rsidR="002614BE">
        <w:instrText xml:space="preserve"> REF _Ref227692251 \h </w:instrText>
      </w:r>
      <w:r w:rsidR="002614BE">
        <w:fldChar w:fldCharType="separate"/>
      </w:r>
      <w:r w:rsidR="002614BE" w:rsidRPr="002614BE">
        <w:rPr>
          <w:rFonts w:ascii="Arial Narrow" w:hAnsi="Arial Narrow"/>
        </w:rPr>
        <w:t xml:space="preserve">Figure </w:t>
      </w:r>
      <w:r w:rsidR="002614BE" w:rsidRPr="002614BE">
        <w:rPr>
          <w:rFonts w:ascii="Arial Narrow" w:hAnsi="Arial Narrow"/>
          <w:noProof/>
        </w:rPr>
        <w:t>4</w:t>
      </w:r>
      <w:r w:rsidR="002614BE">
        <w:fldChar w:fldCharType="end"/>
      </w:r>
      <w:r w:rsidR="00E161FA">
        <w:t>)</w:t>
      </w:r>
      <w:r w:rsidRPr="00280632">
        <w:t>. Satellite</w:t>
      </w:r>
      <w:r w:rsidRPr="00280632">
        <w:noBreakHyphen/>
        <w:t>derived precipitation datasets provide a consistent means of monitoring these patterns across remote and data</w:t>
      </w:r>
      <w:r w:rsidRPr="00280632">
        <w:noBreakHyphen/>
        <w:t>sparse island settings.</w:t>
      </w:r>
    </w:p>
    <w:p w14:paraId="20907C18" w14:textId="77777777" w:rsidR="00215395" w:rsidRDefault="00215395" w:rsidP="002C54B3">
      <w:pPr>
        <w:pStyle w:val="BodyText"/>
        <w:ind w:firstLine="0"/>
      </w:pPr>
    </w:p>
    <w:p w14:paraId="50B0C926" w14:textId="46EA2B6B" w:rsidR="00330C0B" w:rsidRDefault="002C54B3" w:rsidP="002C54B3">
      <w:pPr>
        <w:pStyle w:val="BodyText"/>
        <w:ind w:firstLine="0"/>
      </w:pPr>
      <w:r>
        <w:rPr>
          <w:noProof/>
        </w:rPr>
        <w:lastRenderedPageBreak/>
        <w:drawing>
          <wp:inline distT="0" distB="0" distL="0" distR="0" wp14:anchorId="2B8052DA" wp14:editId="1D74D4C3">
            <wp:extent cx="5943600" cy="5873115"/>
            <wp:effectExtent l="0" t="0" r="0" b="0"/>
            <wp:docPr id="1887999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99664" name="Picture 1887999664"/>
                    <pic:cNvPicPr/>
                  </pic:nvPicPr>
                  <pic:blipFill>
                    <a:blip r:embed="rId14"/>
                    <a:stretch>
                      <a:fillRect/>
                    </a:stretch>
                  </pic:blipFill>
                  <pic:spPr>
                    <a:xfrm>
                      <a:off x="0" y="0"/>
                      <a:ext cx="5943600" cy="5873115"/>
                    </a:xfrm>
                    <a:prstGeom prst="rect">
                      <a:avLst/>
                    </a:prstGeom>
                  </pic:spPr>
                </pic:pic>
              </a:graphicData>
            </a:graphic>
          </wp:inline>
        </w:drawing>
      </w:r>
    </w:p>
    <w:p w14:paraId="16A61346" w14:textId="396E6A7F" w:rsidR="00215395" w:rsidRPr="002614BE" w:rsidRDefault="002614BE" w:rsidP="002614BE">
      <w:pPr>
        <w:pStyle w:val="Caption"/>
        <w:rPr>
          <w:rFonts w:ascii="Arial Narrow" w:hAnsi="Arial Narrow"/>
        </w:rPr>
      </w:pPr>
      <w:bookmarkStart w:id="40" w:name="_Ref227692251"/>
      <w:bookmarkStart w:id="41" w:name="_Toc228286443"/>
      <w:r w:rsidRPr="002614BE">
        <w:rPr>
          <w:rFonts w:ascii="Arial Narrow" w:hAnsi="Arial Narrow"/>
        </w:rPr>
        <w:t xml:space="preserve">Figure </w:t>
      </w:r>
      <w:r w:rsidRPr="002614BE">
        <w:rPr>
          <w:rFonts w:ascii="Arial Narrow" w:hAnsi="Arial Narrow"/>
        </w:rPr>
        <w:fldChar w:fldCharType="begin"/>
      </w:r>
      <w:r w:rsidRPr="002614BE">
        <w:rPr>
          <w:rFonts w:ascii="Arial Narrow" w:hAnsi="Arial Narrow"/>
        </w:rPr>
        <w:instrText xml:space="preserve"> SEQ Figure \* ARABIC </w:instrText>
      </w:r>
      <w:r w:rsidRPr="002614BE">
        <w:rPr>
          <w:rFonts w:ascii="Arial Narrow" w:hAnsi="Arial Narrow"/>
        </w:rPr>
        <w:fldChar w:fldCharType="separate"/>
      </w:r>
      <w:r w:rsidRPr="002614BE">
        <w:rPr>
          <w:rFonts w:ascii="Arial Narrow" w:hAnsi="Arial Narrow"/>
          <w:noProof/>
        </w:rPr>
        <w:t>4</w:t>
      </w:r>
      <w:r w:rsidRPr="002614BE">
        <w:rPr>
          <w:rFonts w:ascii="Arial Narrow" w:hAnsi="Arial Narrow"/>
        </w:rPr>
        <w:fldChar w:fldCharType="end"/>
      </w:r>
      <w:bookmarkEnd w:id="40"/>
      <w:r w:rsidRPr="002614BE">
        <w:rPr>
          <w:rFonts w:ascii="Arial Narrow" w:hAnsi="Arial Narrow"/>
        </w:rPr>
        <w:t>. Mean annual precipitation from 2015 - 2024 from IMERG Final Run dataset, displaying lower values in light blue and higher values dark blue.</w:t>
      </w:r>
      <w:bookmarkEnd w:id="41"/>
    </w:p>
    <w:p w14:paraId="3AEEBFF3" w14:textId="4FBCBCDC" w:rsidR="00215395" w:rsidRPr="000670F2" w:rsidRDefault="00215395" w:rsidP="00215395">
      <w:pPr>
        <w:pStyle w:val="Caption"/>
        <w:rPr>
          <w:rFonts w:ascii="Arial Narrow" w:hAnsi="Arial Narrow"/>
        </w:rPr>
      </w:pPr>
      <w:r w:rsidRPr="000670F2">
        <w:rPr>
          <w:rFonts w:ascii="Arial Narrow" w:hAnsi="Arial Narrow"/>
        </w:rPr>
        <w:t>Alt. text. Graphical representation of mean annual precipitation from 2015 - 2024 from IMERG Final Run dataset, displaying lower values in light blue and higher values dark blue.</w:t>
      </w:r>
    </w:p>
    <w:p w14:paraId="47484793" w14:textId="77777777" w:rsidR="00215395" w:rsidRDefault="00215395" w:rsidP="002C54B3">
      <w:pPr>
        <w:pStyle w:val="BodyText"/>
        <w:ind w:firstLine="0"/>
      </w:pPr>
    </w:p>
    <w:p w14:paraId="2F290B5B" w14:textId="06A0A861" w:rsidR="00384FA8" w:rsidRPr="00384FA8" w:rsidRDefault="00384FA8" w:rsidP="00384FA8">
      <w:pPr>
        <w:pStyle w:val="BodyText"/>
      </w:pPr>
      <w:r w:rsidRPr="00384FA8">
        <w:lastRenderedPageBreak/>
        <w:t>Rainfall patterns for Majuro Atoll were derived using the Integrated Multi</w:t>
      </w:r>
      <w:r w:rsidRPr="00384FA8">
        <w:noBreakHyphen/>
      </w:r>
      <w:proofErr w:type="spellStart"/>
      <w:r w:rsidRPr="00384FA8">
        <w:t>satellitE</w:t>
      </w:r>
      <w:proofErr w:type="spellEnd"/>
      <w:r w:rsidRPr="00384FA8">
        <w:t xml:space="preserve"> Retrievals for GPM (IMERG) precipitation dataset (Huffman </w:t>
      </w:r>
      <w:r w:rsidR="009D110E">
        <w:t>and others</w:t>
      </w:r>
      <w:r w:rsidRPr="00384FA8">
        <w:t xml:space="preserve">, </w:t>
      </w:r>
      <w:r w:rsidR="00A059A4" w:rsidRPr="00384FA8">
        <w:t>20</w:t>
      </w:r>
      <w:r w:rsidR="00A059A4">
        <w:t>19</w:t>
      </w:r>
      <w:r w:rsidRPr="00384FA8">
        <w:t>). After the data was acquired, the atoll</w:t>
      </w:r>
      <w:r w:rsidRPr="00384FA8">
        <w:noBreakHyphen/>
        <w:t>wide average for every day from 1 January 1998 to 31 September 2025 was created and can be accessed from (USGS Data release citation here).</w:t>
      </w:r>
    </w:p>
    <w:p w14:paraId="1DB2D5B4" w14:textId="6F748CAB" w:rsidR="00384FA8" w:rsidRPr="00384FA8" w:rsidRDefault="00384FA8" w:rsidP="00384FA8">
      <w:pPr>
        <w:pStyle w:val="BodyText"/>
      </w:pPr>
      <w:r w:rsidRPr="00384FA8">
        <w:t>Majuro has a typical equatorial</w:t>
      </w:r>
      <w:r w:rsidRPr="00384FA8">
        <w:noBreakHyphen/>
        <w:t xml:space="preserve">maritime climate, characterized by strong reliance on rainfall and a high sensitivity to El Niño–Southern Oscillation (ENSO) events. Unlike high islands, Majuro lacks orographic features that enhance rainfall, resulting in a climate where extended dry periods can occur even in otherwise wet years. The </w:t>
      </w:r>
      <w:r w:rsidR="002614BE">
        <w:t>mean</w:t>
      </w:r>
      <w:r w:rsidRPr="00384FA8">
        <w:t xml:space="preserve"> annual total precipitation is </w:t>
      </w:r>
      <w:r w:rsidR="00DA6E2E">
        <w:t>2983</w:t>
      </w:r>
      <w:r w:rsidRPr="00384FA8">
        <w:t xml:space="preserve"> mm/</w:t>
      </w:r>
      <w:proofErr w:type="gramStart"/>
      <w:r w:rsidRPr="00384FA8">
        <w:t>yr</w:t>
      </w:r>
      <w:proofErr w:type="gramEnd"/>
      <w:r w:rsidRPr="00384FA8">
        <w:t xml:space="preserve"> and the mean monthly precipitation is </w:t>
      </w:r>
      <w:r w:rsidR="00580237">
        <w:t>250</w:t>
      </w:r>
      <w:r w:rsidRPr="00384FA8">
        <w:t xml:space="preserve"> mm (</w:t>
      </w:r>
      <w:r w:rsidR="004F005C">
        <w:fldChar w:fldCharType="begin"/>
      </w:r>
      <w:r w:rsidR="004F005C">
        <w:instrText xml:space="preserve"> REF _Ref227136400 \h </w:instrText>
      </w:r>
      <w:r w:rsidR="004F005C">
        <w:fldChar w:fldCharType="separate"/>
      </w:r>
      <w:r w:rsidR="004F005C" w:rsidRPr="00580237">
        <w:rPr>
          <w:rFonts w:ascii="Arial Narrow" w:hAnsi="Arial Narrow"/>
        </w:rPr>
        <w:t xml:space="preserve">Table </w:t>
      </w:r>
      <w:r w:rsidR="004F005C" w:rsidRPr="00580237">
        <w:rPr>
          <w:rFonts w:ascii="Arial Narrow" w:hAnsi="Arial Narrow"/>
          <w:noProof/>
        </w:rPr>
        <w:t>1</w:t>
      </w:r>
      <w:r w:rsidR="004F005C">
        <w:fldChar w:fldCharType="end"/>
      </w:r>
      <w:r w:rsidRPr="00384FA8">
        <w:t xml:space="preserve">). Over the period analyzed, the </w:t>
      </w:r>
      <w:r w:rsidR="002614BE">
        <w:t>mean</w:t>
      </w:r>
      <w:r w:rsidRPr="00384FA8">
        <w:t xml:space="preserve"> minimum monthly precipitation is </w:t>
      </w:r>
      <w:r w:rsidR="00D427BC">
        <w:t>142</w:t>
      </w:r>
      <w:r w:rsidRPr="00384FA8">
        <w:t xml:space="preserve"> mm, reflecting the severity of dry</w:t>
      </w:r>
      <w:r w:rsidRPr="00384FA8">
        <w:noBreakHyphen/>
        <w:t xml:space="preserve">season lows, while the </w:t>
      </w:r>
      <w:r w:rsidR="002614BE">
        <w:t>mean</w:t>
      </w:r>
      <w:r w:rsidRPr="00384FA8">
        <w:t xml:space="preserve"> maximum monthly precipitation reaches </w:t>
      </w:r>
      <w:r w:rsidR="00D427BC">
        <w:t>353</w:t>
      </w:r>
      <w:r w:rsidRPr="00384FA8">
        <w:t xml:space="preserve"> mm.</w:t>
      </w:r>
    </w:p>
    <w:p w14:paraId="18F756DF" w14:textId="77777777" w:rsidR="006240AF" w:rsidRDefault="006240AF" w:rsidP="00580237">
      <w:pPr>
        <w:pStyle w:val="Caption"/>
        <w:rPr>
          <w:rFonts w:ascii="Arial Narrow" w:hAnsi="Arial Narrow"/>
        </w:rPr>
      </w:pPr>
      <w:bookmarkStart w:id="42" w:name="_Ref227136400"/>
    </w:p>
    <w:p w14:paraId="643F751A" w14:textId="4C8EAFB3" w:rsidR="00695F45" w:rsidRPr="00580237" w:rsidRDefault="00580237" w:rsidP="00580237">
      <w:pPr>
        <w:pStyle w:val="Caption"/>
        <w:rPr>
          <w:rFonts w:ascii="Arial Narrow" w:hAnsi="Arial Narrow"/>
        </w:rPr>
      </w:pPr>
      <w:bookmarkStart w:id="43" w:name="_Toc228286453"/>
      <w:r w:rsidRPr="00580237">
        <w:rPr>
          <w:rFonts w:ascii="Arial Narrow" w:hAnsi="Arial Narrow"/>
        </w:rPr>
        <w:t xml:space="preserve">Table </w:t>
      </w:r>
      <w:r w:rsidRPr="00580237">
        <w:rPr>
          <w:rFonts w:ascii="Arial Narrow" w:hAnsi="Arial Narrow"/>
        </w:rPr>
        <w:fldChar w:fldCharType="begin"/>
      </w:r>
      <w:r w:rsidRPr="00580237">
        <w:rPr>
          <w:rFonts w:ascii="Arial Narrow" w:hAnsi="Arial Narrow"/>
        </w:rPr>
        <w:instrText xml:space="preserve"> SEQ Table \* ARABIC </w:instrText>
      </w:r>
      <w:r w:rsidRPr="00580237">
        <w:rPr>
          <w:rFonts w:ascii="Arial Narrow" w:hAnsi="Arial Narrow"/>
        </w:rPr>
        <w:fldChar w:fldCharType="separate"/>
      </w:r>
      <w:r w:rsidR="00C316AC">
        <w:rPr>
          <w:rFonts w:ascii="Arial Narrow" w:hAnsi="Arial Narrow"/>
          <w:noProof/>
        </w:rPr>
        <w:t>1</w:t>
      </w:r>
      <w:r w:rsidRPr="00580237">
        <w:rPr>
          <w:rFonts w:ascii="Arial Narrow" w:hAnsi="Arial Narrow"/>
        </w:rPr>
        <w:fldChar w:fldCharType="end"/>
      </w:r>
      <w:bookmarkEnd w:id="42"/>
      <w:r w:rsidRPr="00580237">
        <w:rPr>
          <w:rFonts w:ascii="Arial Narrow" w:hAnsi="Arial Narrow"/>
        </w:rPr>
        <w:t xml:space="preserve">. </w:t>
      </w:r>
      <w:r w:rsidR="002614BE">
        <w:rPr>
          <w:rFonts w:ascii="Arial Narrow" w:hAnsi="Arial Narrow"/>
        </w:rPr>
        <w:t>M</w:t>
      </w:r>
      <w:r w:rsidR="002614BE" w:rsidRPr="00937742">
        <w:rPr>
          <w:rFonts w:ascii="Arial Narrow" w:hAnsi="Arial Narrow"/>
        </w:rPr>
        <w:t>ean</w:t>
      </w:r>
      <w:r w:rsidRPr="00580237">
        <w:rPr>
          <w:rFonts w:ascii="Arial Narrow" w:hAnsi="Arial Narrow"/>
        </w:rPr>
        <w:t xml:space="preserve"> IMERG Precipitation Statistics (1998–2024) for Majuro Atoll</w:t>
      </w:r>
      <w:bookmarkEnd w:id="43"/>
    </w:p>
    <w:tbl>
      <w:tblPr>
        <w:tblStyle w:val="TableGrid"/>
        <w:tblW w:w="0" w:type="auto"/>
        <w:tblLook w:val="04A0" w:firstRow="1" w:lastRow="0" w:firstColumn="1" w:lastColumn="0" w:noHBand="0" w:noVBand="1"/>
      </w:tblPr>
      <w:tblGrid>
        <w:gridCol w:w="3955"/>
        <w:gridCol w:w="3595"/>
      </w:tblGrid>
      <w:tr w:rsidR="00695F45" w:rsidRPr="00937742" w14:paraId="2866D76B" w14:textId="77777777" w:rsidTr="00980C9D">
        <w:tc>
          <w:tcPr>
            <w:tcW w:w="3955" w:type="dxa"/>
          </w:tcPr>
          <w:p w14:paraId="717C54BD" w14:textId="77777777" w:rsidR="00695F45" w:rsidRPr="0070522D" w:rsidRDefault="00695F45" w:rsidP="00980C9D">
            <w:pPr>
              <w:pStyle w:val="BodyText"/>
              <w:ind w:firstLine="0"/>
              <w:rPr>
                <w:rFonts w:ascii="Arial Narrow" w:hAnsi="Arial Narrow"/>
                <w:b/>
                <w:bCs/>
              </w:rPr>
            </w:pPr>
            <w:r w:rsidRPr="0070522D">
              <w:rPr>
                <w:rFonts w:ascii="Arial Narrow" w:hAnsi="Arial Narrow"/>
                <w:b/>
                <w:bCs/>
              </w:rPr>
              <w:t>Statistic</w:t>
            </w:r>
          </w:p>
        </w:tc>
        <w:tc>
          <w:tcPr>
            <w:tcW w:w="3595" w:type="dxa"/>
          </w:tcPr>
          <w:p w14:paraId="49CBBEE3" w14:textId="08AADA1E" w:rsidR="00695F45" w:rsidRPr="0070522D" w:rsidRDefault="00695F45" w:rsidP="00980C9D">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2614BE">
              <w:rPr>
                <w:rFonts w:ascii="Arial Narrow" w:hAnsi="Arial Narrow"/>
                <w:b/>
                <w:bCs/>
              </w:rPr>
              <w:t xml:space="preserve"> (mm)</w:t>
            </w:r>
          </w:p>
        </w:tc>
      </w:tr>
      <w:tr w:rsidR="00695F45" w:rsidRPr="00937742" w14:paraId="1F90BE40" w14:textId="77777777" w:rsidTr="00980C9D">
        <w:tc>
          <w:tcPr>
            <w:tcW w:w="3955" w:type="dxa"/>
          </w:tcPr>
          <w:p w14:paraId="0C62EC41" w14:textId="77777777" w:rsidR="00695F45" w:rsidRPr="0070522D" w:rsidRDefault="00695F45" w:rsidP="00980C9D">
            <w:pPr>
              <w:pStyle w:val="BodyText"/>
              <w:ind w:firstLine="0"/>
              <w:rPr>
                <w:rFonts w:ascii="Arial Narrow" w:hAnsi="Arial Narrow"/>
              </w:rPr>
            </w:pPr>
            <w:r>
              <w:rPr>
                <w:rFonts w:ascii="Arial Narrow" w:hAnsi="Arial Narrow"/>
              </w:rPr>
              <w:t>Mean</w:t>
            </w:r>
            <w:r w:rsidRPr="00937742">
              <w:rPr>
                <w:rFonts w:ascii="Arial Narrow" w:hAnsi="Arial Narrow"/>
              </w:rPr>
              <w:t xml:space="preserve"> annual total</w:t>
            </w:r>
          </w:p>
        </w:tc>
        <w:tc>
          <w:tcPr>
            <w:tcW w:w="3595" w:type="dxa"/>
          </w:tcPr>
          <w:p w14:paraId="4A0E3EEC" w14:textId="34D885DD" w:rsidR="00695F45" w:rsidRPr="0070522D" w:rsidRDefault="00793C01" w:rsidP="00980C9D">
            <w:pPr>
              <w:pStyle w:val="BodyText"/>
              <w:ind w:firstLine="0"/>
              <w:rPr>
                <w:rFonts w:ascii="Arial Narrow" w:hAnsi="Arial Narrow"/>
              </w:rPr>
            </w:pPr>
            <w:r>
              <w:rPr>
                <w:rFonts w:ascii="Arial Narrow" w:hAnsi="Arial Narrow"/>
              </w:rPr>
              <w:t>2983</w:t>
            </w:r>
          </w:p>
        </w:tc>
      </w:tr>
      <w:tr w:rsidR="00695F45" w:rsidRPr="00937742" w14:paraId="49F3994C" w14:textId="77777777" w:rsidTr="00980C9D">
        <w:tc>
          <w:tcPr>
            <w:tcW w:w="3955" w:type="dxa"/>
          </w:tcPr>
          <w:p w14:paraId="0EDF60EA" w14:textId="2B9E6ADB" w:rsidR="00695F45" w:rsidRPr="0070522D" w:rsidRDefault="002614BE" w:rsidP="00980C9D">
            <w:pPr>
              <w:pStyle w:val="BodyText"/>
              <w:ind w:firstLine="0"/>
              <w:rPr>
                <w:rFonts w:ascii="Arial Narrow" w:hAnsi="Arial Narrow"/>
              </w:rPr>
            </w:pPr>
            <w:r>
              <w:rPr>
                <w:rFonts w:ascii="Arial Narrow" w:hAnsi="Arial Narrow"/>
              </w:rPr>
              <w:t>M</w:t>
            </w:r>
            <w:r w:rsidR="00695F45" w:rsidRPr="00937742">
              <w:rPr>
                <w:rFonts w:ascii="Arial Narrow" w:hAnsi="Arial Narrow"/>
              </w:rPr>
              <w:t>ean monthly</w:t>
            </w:r>
          </w:p>
        </w:tc>
        <w:tc>
          <w:tcPr>
            <w:tcW w:w="3595" w:type="dxa"/>
          </w:tcPr>
          <w:p w14:paraId="2A95A54F" w14:textId="4F110342" w:rsidR="00695F45" w:rsidRPr="0070522D" w:rsidRDefault="00793C01" w:rsidP="00980C9D">
            <w:pPr>
              <w:pStyle w:val="BodyText"/>
              <w:ind w:firstLine="0"/>
              <w:rPr>
                <w:rFonts w:ascii="Arial Narrow" w:hAnsi="Arial Narrow"/>
              </w:rPr>
            </w:pPr>
            <w:r>
              <w:rPr>
                <w:rFonts w:ascii="Arial Narrow" w:hAnsi="Arial Narrow"/>
              </w:rPr>
              <w:t>250</w:t>
            </w:r>
          </w:p>
        </w:tc>
      </w:tr>
      <w:tr w:rsidR="00695F45" w:rsidRPr="00937742" w14:paraId="5016BCFE" w14:textId="77777777" w:rsidTr="00980C9D">
        <w:tc>
          <w:tcPr>
            <w:tcW w:w="3955" w:type="dxa"/>
          </w:tcPr>
          <w:p w14:paraId="214CCB08" w14:textId="3EE12300" w:rsidR="00695F45" w:rsidRPr="0070522D" w:rsidRDefault="002614BE" w:rsidP="00980C9D">
            <w:pPr>
              <w:pStyle w:val="BodyText"/>
              <w:ind w:firstLine="0"/>
              <w:rPr>
                <w:rFonts w:ascii="Arial Narrow" w:hAnsi="Arial Narrow"/>
              </w:rPr>
            </w:pPr>
            <w:r>
              <w:rPr>
                <w:rFonts w:ascii="Arial Narrow" w:hAnsi="Arial Narrow"/>
              </w:rPr>
              <w:t>M</w:t>
            </w:r>
            <w:r w:rsidRPr="00937742">
              <w:rPr>
                <w:rFonts w:ascii="Arial Narrow" w:hAnsi="Arial Narrow"/>
              </w:rPr>
              <w:t>ean</w:t>
            </w:r>
            <w:r w:rsidR="00695F45" w:rsidRPr="00937742">
              <w:rPr>
                <w:rFonts w:ascii="Arial Narrow" w:hAnsi="Arial Narrow"/>
              </w:rPr>
              <w:t xml:space="preserve"> min</w:t>
            </w:r>
            <w:r w:rsidR="00695F45" w:rsidRPr="0070522D">
              <w:rPr>
                <w:rFonts w:ascii="Arial Narrow" w:hAnsi="Arial Narrow"/>
              </w:rPr>
              <w:t>imum</w:t>
            </w:r>
            <w:r w:rsidR="00695F45" w:rsidRPr="00937742">
              <w:rPr>
                <w:rFonts w:ascii="Arial Narrow" w:hAnsi="Arial Narrow"/>
              </w:rPr>
              <w:t xml:space="preserve"> monthly</w:t>
            </w:r>
          </w:p>
        </w:tc>
        <w:tc>
          <w:tcPr>
            <w:tcW w:w="3595" w:type="dxa"/>
          </w:tcPr>
          <w:p w14:paraId="1A15C441" w14:textId="6ECC4803" w:rsidR="00695F45" w:rsidRPr="0070522D" w:rsidRDefault="00793C01" w:rsidP="00980C9D">
            <w:pPr>
              <w:pStyle w:val="BodyText"/>
              <w:ind w:firstLine="0"/>
              <w:rPr>
                <w:rFonts w:ascii="Arial Narrow" w:hAnsi="Arial Narrow"/>
              </w:rPr>
            </w:pPr>
            <w:r>
              <w:rPr>
                <w:rFonts w:ascii="Arial Narrow" w:hAnsi="Arial Narrow"/>
              </w:rPr>
              <w:t>142</w:t>
            </w:r>
          </w:p>
        </w:tc>
      </w:tr>
      <w:tr w:rsidR="00695F45" w:rsidRPr="00937742" w14:paraId="59A55DBB" w14:textId="77777777" w:rsidTr="00980C9D">
        <w:tc>
          <w:tcPr>
            <w:tcW w:w="3955" w:type="dxa"/>
          </w:tcPr>
          <w:p w14:paraId="135D2BC7" w14:textId="4652DD2E" w:rsidR="00695F45" w:rsidRPr="0070522D" w:rsidRDefault="002614BE" w:rsidP="00980C9D">
            <w:pPr>
              <w:pStyle w:val="BodyText"/>
              <w:ind w:firstLine="0"/>
              <w:rPr>
                <w:rFonts w:ascii="Arial Narrow" w:hAnsi="Arial Narrow"/>
              </w:rPr>
            </w:pPr>
            <w:r>
              <w:rPr>
                <w:rFonts w:ascii="Arial Narrow" w:hAnsi="Arial Narrow"/>
              </w:rPr>
              <w:t>M</w:t>
            </w:r>
            <w:r w:rsidRPr="00937742">
              <w:rPr>
                <w:rFonts w:ascii="Arial Narrow" w:hAnsi="Arial Narrow"/>
              </w:rPr>
              <w:t>ean</w:t>
            </w:r>
            <w:r w:rsidRPr="0070522D">
              <w:rPr>
                <w:rFonts w:ascii="Arial Narrow" w:hAnsi="Arial Narrow"/>
              </w:rPr>
              <w:t xml:space="preserve"> </w:t>
            </w:r>
            <w:r w:rsidR="00695F45" w:rsidRPr="00937742">
              <w:rPr>
                <w:rFonts w:ascii="Arial Narrow" w:hAnsi="Arial Narrow"/>
              </w:rPr>
              <w:t>max</w:t>
            </w:r>
            <w:r w:rsidR="00695F45" w:rsidRPr="0070522D">
              <w:rPr>
                <w:rFonts w:ascii="Arial Narrow" w:hAnsi="Arial Narrow"/>
              </w:rPr>
              <w:t>imum</w:t>
            </w:r>
            <w:r w:rsidR="00695F45" w:rsidRPr="00937742">
              <w:rPr>
                <w:rFonts w:ascii="Arial Narrow" w:hAnsi="Arial Narrow"/>
              </w:rPr>
              <w:t xml:space="preserve"> monthly</w:t>
            </w:r>
          </w:p>
        </w:tc>
        <w:tc>
          <w:tcPr>
            <w:tcW w:w="3595" w:type="dxa"/>
          </w:tcPr>
          <w:p w14:paraId="78651A0D" w14:textId="516FD299" w:rsidR="00695F45" w:rsidRPr="0070522D" w:rsidRDefault="00BB6CB7" w:rsidP="00980C9D">
            <w:pPr>
              <w:pStyle w:val="BodyText"/>
              <w:ind w:firstLine="0"/>
              <w:rPr>
                <w:rFonts w:ascii="Arial Narrow" w:hAnsi="Arial Narrow"/>
              </w:rPr>
            </w:pPr>
            <w:r>
              <w:rPr>
                <w:rFonts w:ascii="Arial Narrow" w:hAnsi="Arial Narrow"/>
              </w:rPr>
              <w:t>353</w:t>
            </w:r>
          </w:p>
        </w:tc>
      </w:tr>
    </w:tbl>
    <w:p w14:paraId="3809B643" w14:textId="77777777" w:rsidR="00695F45" w:rsidRDefault="00695F45" w:rsidP="00695F45">
      <w:pPr>
        <w:pStyle w:val="BodyText"/>
        <w:ind w:firstLine="0"/>
      </w:pPr>
    </w:p>
    <w:p w14:paraId="48B9B306" w14:textId="43F91B7B" w:rsidR="00892734" w:rsidRPr="00892734" w:rsidRDefault="00892734" w:rsidP="00892734">
      <w:pPr>
        <w:pStyle w:val="BodyText"/>
      </w:pPr>
      <w:r w:rsidRPr="00892734">
        <w:t>Majuro receives moderate to high precipitation overall, but with substantial seasonal variability. Monthly rainfall commonly ranges from less than 50 m</w:t>
      </w:r>
      <w:r w:rsidR="0059375E">
        <w:t>m</w:t>
      </w:r>
      <w:r w:rsidRPr="00892734">
        <w:t xml:space="preserve"> during pronounced dry seasons to more than 300 m</w:t>
      </w:r>
      <w:r w:rsidR="0059375E">
        <w:t>m</w:t>
      </w:r>
      <w:r w:rsidRPr="00892734">
        <w:t xml:space="preserve"> during wetter months. A typical seasonal pattern is evident, with higher precipitation generally occurring from May through November and markedly drier conditions from December through April (</w:t>
      </w:r>
      <w:r w:rsidR="009A66C0">
        <w:fldChar w:fldCharType="begin"/>
      </w:r>
      <w:r w:rsidR="009A66C0">
        <w:instrText xml:space="preserve"> REF _Ref227136943 \h </w:instrText>
      </w:r>
      <w:r w:rsidR="009A66C0">
        <w:fldChar w:fldCharType="separate"/>
      </w:r>
      <w:r w:rsidR="009A66C0" w:rsidRPr="00393F59">
        <w:rPr>
          <w:rFonts w:ascii="Arial Narrow" w:hAnsi="Arial Narrow"/>
        </w:rPr>
        <w:t xml:space="preserve">Figure </w:t>
      </w:r>
      <w:r w:rsidR="009A66C0">
        <w:rPr>
          <w:rFonts w:ascii="Arial Narrow" w:hAnsi="Arial Narrow"/>
          <w:noProof/>
        </w:rPr>
        <w:t>5</w:t>
      </w:r>
      <w:r w:rsidR="009A66C0">
        <w:fldChar w:fldCharType="end"/>
      </w:r>
      <w:r w:rsidRPr="00892734">
        <w:t xml:space="preserve">). Several months exceed 300 millimeters, </w:t>
      </w:r>
      <w:r w:rsidRPr="00892734">
        <w:lastRenderedPageBreak/>
        <w:t>driven by enhanced convective activity or regional weather systems, while severe dry</w:t>
      </w:r>
      <w:r w:rsidRPr="00892734">
        <w:noBreakHyphen/>
        <w:t>season lows can fall below 20 m</w:t>
      </w:r>
      <w:r w:rsidR="0059375E">
        <w:t>m</w:t>
      </w:r>
      <w:r w:rsidRPr="00892734">
        <w:t xml:space="preserve"> during strong El Niño events. These dry periods pose significant challenges because Majuro’s freshwater supply depends heavily on rainfall collected from rooftop catchments and the airport </w:t>
      </w:r>
      <w:proofErr w:type="gramStart"/>
      <w:r w:rsidRPr="00892734">
        <w:t>runway catchment</w:t>
      </w:r>
      <w:proofErr w:type="gramEnd"/>
      <w:r w:rsidRPr="00892734">
        <w:t xml:space="preserve"> system.</w:t>
      </w:r>
    </w:p>
    <w:p w14:paraId="4A40B2A7" w14:textId="5C6834AE" w:rsidR="00695F45" w:rsidRDefault="00DD582E" w:rsidP="00695F45">
      <w:pPr>
        <w:pStyle w:val="BodyText"/>
        <w:ind w:firstLine="0"/>
      </w:pPr>
      <w:r>
        <w:rPr>
          <w:noProof/>
        </w:rPr>
        <w:drawing>
          <wp:inline distT="0" distB="0" distL="0" distR="0" wp14:anchorId="0BD402EB" wp14:editId="29A6A5C2">
            <wp:extent cx="5943600" cy="2934335"/>
            <wp:effectExtent l="0" t="0" r="0" b="0"/>
            <wp:docPr id="897723840" name="Chart 1">
              <a:extLst xmlns:a="http://schemas.openxmlformats.org/drawingml/2006/main">
                <a:ext uri="{FF2B5EF4-FFF2-40B4-BE49-F238E27FC236}">
                  <a16:creationId xmlns:a16="http://schemas.microsoft.com/office/drawing/2014/main" id="{A8747637-A9ED-4BA8-8477-463ECD0EE1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20734E2" w14:textId="0F71547B" w:rsidR="00393F59" w:rsidRPr="00393F59" w:rsidRDefault="00393F59" w:rsidP="00393F59">
      <w:pPr>
        <w:pStyle w:val="Caption"/>
        <w:rPr>
          <w:rFonts w:ascii="Arial Narrow" w:hAnsi="Arial Narrow"/>
        </w:rPr>
      </w:pPr>
      <w:bookmarkStart w:id="44" w:name="_Ref227136943"/>
      <w:bookmarkStart w:id="45" w:name="_Toc228286444"/>
      <w:r w:rsidRPr="00393F59">
        <w:rPr>
          <w:rFonts w:ascii="Arial Narrow" w:hAnsi="Arial Narrow"/>
        </w:rPr>
        <w:t xml:space="preserve">Figure </w:t>
      </w:r>
      <w:r w:rsidRPr="00393F59">
        <w:rPr>
          <w:rFonts w:ascii="Arial Narrow" w:hAnsi="Arial Narrow"/>
        </w:rPr>
        <w:fldChar w:fldCharType="begin"/>
      </w:r>
      <w:r w:rsidRPr="00393F59">
        <w:rPr>
          <w:rFonts w:ascii="Arial Narrow" w:hAnsi="Arial Narrow"/>
        </w:rPr>
        <w:instrText xml:space="preserve"> SEQ Figure \* ARABIC </w:instrText>
      </w:r>
      <w:r w:rsidRPr="00393F59">
        <w:rPr>
          <w:rFonts w:ascii="Arial Narrow" w:hAnsi="Arial Narrow"/>
        </w:rPr>
        <w:fldChar w:fldCharType="separate"/>
      </w:r>
      <w:r w:rsidR="002614BE">
        <w:rPr>
          <w:rFonts w:ascii="Arial Narrow" w:hAnsi="Arial Narrow"/>
          <w:noProof/>
        </w:rPr>
        <w:t>5</w:t>
      </w:r>
      <w:r w:rsidRPr="00393F59">
        <w:rPr>
          <w:rFonts w:ascii="Arial Narrow" w:hAnsi="Arial Narrow"/>
        </w:rPr>
        <w:fldChar w:fldCharType="end"/>
      </w:r>
      <w:bookmarkEnd w:id="44"/>
      <w:r w:rsidRPr="00393F59">
        <w:rPr>
          <w:rFonts w:ascii="Arial Narrow" w:hAnsi="Arial Narrow"/>
        </w:rPr>
        <w:t>. Monthly precipitation for years 1998 - 2025 in mm.</w:t>
      </w:r>
      <w:bookmarkEnd w:id="45"/>
      <w:r w:rsidR="00695F45" w:rsidRPr="00393F59">
        <w:rPr>
          <w:rFonts w:ascii="Arial Narrow" w:hAnsi="Arial Narrow"/>
        </w:rPr>
        <w:tab/>
      </w:r>
    </w:p>
    <w:p w14:paraId="77F630C3" w14:textId="1155576A" w:rsidR="00695F45" w:rsidRPr="009F43CC" w:rsidRDefault="00695F45" w:rsidP="00393F59">
      <w:pPr>
        <w:pStyle w:val="Caption"/>
        <w:ind w:firstLine="720"/>
        <w:rPr>
          <w:rFonts w:ascii="Arial Narrow" w:hAnsi="Arial Narrow"/>
        </w:rPr>
      </w:pPr>
      <w:r>
        <w:rPr>
          <w:rFonts w:ascii="Arial Narrow" w:hAnsi="Arial Narrow"/>
        </w:rPr>
        <w:t>Alt. text. Line graph showing the m</w:t>
      </w:r>
      <w:r w:rsidRPr="009F43CC">
        <w:rPr>
          <w:rFonts w:ascii="Arial Narrow" w:hAnsi="Arial Narrow"/>
        </w:rPr>
        <w:t>onthly precipitation for years 1998 - 2025 in mm.</w:t>
      </w:r>
    </w:p>
    <w:p w14:paraId="7B58CBF2" w14:textId="3ABA2DC8" w:rsidR="00933B0D" w:rsidRPr="00933B0D" w:rsidRDefault="00933B0D" w:rsidP="00933B0D">
      <w:pPr>
        <w:pStyle w:val="BodyText"/>
      </w:pPr>
      <w:r w:rsidRPr="00933B0D">
        <w:t>Annual precipitation on Majuro varies considerably from year to year, with totals strongly modulated by ENSO</w:t>
      </w:r>
      <w:r w:rsidRPr="00933B0D">
        <w:noBreakHyphen/>
        <w:t>related climate variability (</w:t>
      </w:r>
      <w:r w:rsidR="000D1369">
        <w:fldChar w:fldCharType="begin"/>
      </w:r>
      <w:r w:rsidR="000D1369">
        <w:instrText xml:space="preserve"> REF _Ref227136932 \h </w:instrText>
      </w:r>
      <w:r w:rsidR="000D1369">
        <w:fldChar w:fldCharType="separate"/>
      </w:r>
      <w:r w:rsidR="000D1369" w:rsidRPr="002A451A">
        <w:rPr>
          <w:rFonts w:ascii="Arial Narrow" w:hAnsi="Arial Narrow"/>
        </w:rPr>
        <w:t xml:space="preserve">Figure </w:t>
      </w:r>
      <w:r w:rsidR="000D1369">
        <w:rPr>
          <w:rFonts w:ascii="Arial Narrow" w:hAnsi="Arial Narrow"/>
          <w:noProof/>
        </w:rPr>
        <w:t>6</w:t>
      </w:r>
      <w:r w:rsidR="000D1369">
        <w:fldChar w:fldCharType="end"/>
      </w:r>
      <w:r w:rsidRPr="00933B0D">
        <w:t xml:space="preserve">). Wet years often exceed </w:t>
      </w:r>
      <w:r w:rsidR="00723B10">
        <w:t>3000</w:t>
      </w:r>
      <w:r w:rsidRPr="00933B0D">
        <w:t xml:space="preserve"> mm/yr, while the driest years can fall below </w:t>
      </w:r>
      <w:r w:rsidR="00EB7C5E">
        <w:t>2500</w:t>
      </w:r>
      <w:r w:rsidRPr="00933B0D">
        <w:t xml:space="preserve"> mm/yr during intense El Niño events that suppress rainfall across much of the central Pacific. This interannual variability underscores the atoll’s vulnerability to prolonged droughts, which can persist for several months and require emergency water rationing or reverse</w:t>
      </w:r>
      <w:r w:rsidRPr="00933B0D">
        <w:noBreakHyphen/>
        <w:t>osmosis operation. No long</w:t>
      </w:r>
      <w:r w:rsidRPr="00933B0D">
        <w:noBreakHyphen/>
        <w:t>term trend toward persistently wetter or drier conditions is evident over the period analyzed, but ENSO</w:t>
      </w:r>
      <w:r w:rsidRPr="00933B0D">
        <w:noBreakHyphen/>
        <w:t>driven extremes remain a defining feature of Majuro’s rainfall regime.</w:t>
      </w:r>
    </w:p>
    <w:p w14:paraId="7F5A7F88" w14:textId="0EEF7FC9" w:rsidR="00695F45" w:rsidRDefault="00DD582E" w:rsidP="00695F45">
      <w:pPr>
        <w:pStyle w:val="BodyText"/>
      </w:pPr>
      <w:r>
        <w:rPr>
          <w:noProof/>
        </w:rPr>
        <w:lastRenderedPageBreak/>
        <w:drawing>
          <wp:inline distT="0" distB="0" distL="0" distR="0" wp14:anchorId="3905A8F2" wp14:editId="2594F02F">
            <wp:extent cx="5943600" cy="3384645"/>
            <wp:effectExtent l="0" t="0" r="0" b="6350"/>
            <wp:docPr id="1866627469" name="Chart 1">
              <a:extLst xmlns:a="http://schemas.openxmlformats.org/drawingml/2006/main">
                <a:ext uri="{FF2B5EF4-FFF2-40B4-BE49-F238E27FC236}">
                  <a16:creationId xmlns:a16="http://schemas.microsoft.com/office/drawing/2014/main" id="{41114CD1-0AD6-442A-9D70-CAE9174648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8B074FA" w14:textId="4058F64A" w:rsidR="002A451A" w:rsidRPr="002A451A" w:rsidRDefault="002A451A" w:rsidP="002A451A">
      <w:pPr>
        <w:pStyle w:val="Caption"/>
        <w:rPr>
          <w:rFonts w:ascii="Arial Narrow" w:hAnsi="Arial Narrow"/>
        </w:rPr>
      </w:pPr>
      <w:bookmarkStart w:id="46" w:name="_Ref227136932"/>
      <w:bookmarkStart w:id="47" w:name="_Toc228286445"/>
      <w:r w:rsidRPr="002A451A">
        <w:rPr>
          <w:rFonts w:ascii="Arial Narrow" w:hAnsi="Arial Narrow"/>
        </w:rPr>
        <w:t xml:space="preserve">Figure </w:t>
      </w:r>
      <w:r w:rsidRPr="002A451A">
        <w:rPr>
          <w:rFonts w:ascii="Arial Narrow" w:hAnsi="Arial Narrow"/>
        </w:rPr>
        <w:fldChar w:fldCharType="begin"/>
      </w:r>
      <w:r w:rsidRPr="002A451A">
        <w:rPr>
          <w:rFonts w:ascii="Arial Narrow" w:hAnsi="Arial Narrow"/>
        </w:rPr>
        <w:instrText xml:space="preserve"> SEQ Figure \* ARABIC </w:instrText>
      </w:r>
      <w:r w:rsidRPr="002A451A">
        <w:rPr>
          <w:rFonts w:ascii="Arial Narrow" w:hAnsi="Arial Narrow"/>
        </w:rPr>
        <w:fldChar w:fldCharType="separate"/>
      </w:r>
      <w:r w:rsidR="002614BE">
        <w:rPr>
          <w:rFonts w:ascii="Arial Narrow" w:hAnsi="Arial Narrow"/>
          <w:noProof/>
        </w:rPr>
        <w:t>6</w:t>
      </w:r>
      <w:r w:rsidRPr="002A451A">
        <w:rPr>
          <w:rFonts w:ascii="Arial Narrow" w:hAnsi="Arial Narrow"/>
        </w:rPr>
        <w:fldChar w:fldCharType="end"/>
      </w:r>
      <w:bookmarkEnd w:id="46"/>
      <w:r w:rsidRPr="002A451A">
        <w:rPr>
          <w:rFonts w:ascii="Arial Narrow" w:hAnsi="Arial Narrow"/>
        </w:rPr>
        <w:t>. Annual precipitation for years 1998 - 2024 in mm.</w:t>
      </w:r>
      <w:bookmarkEnd w:id="47"/>
    </w:p>
    <w:p w14:paraId="7739607C" w14:textId="4E41ADAC" w:rsidR="00695F45" w:rsidRPr="009F43CC" w:rsidRDefault="00695F45" w:rsidP="00695F45">
      <w:pPr>
        <w:pStyle w:val="BodyText"/>
        <w:ind w:firstLine="0"/>
        <w:rPr>
          <w:rFonts w:ascii="Arial Narrow" w:hAnsi="Arial Narrow"/>
        </w:rPr>
      </w:pPr>
      <w:r>
        <w:rPr>
          <w:rFonts w:ascii="Arial Narrow" w:hAnsi="Arial Narrow"/>
        </w:rPr>
        <w:tab/>
        <w:t>Alt. text. Bar chart showing annual precipitation for years 1998 to 2024 in mm.</w:t>
      </w:r>
    </w:p>
    <w:p w14:paraId="7B4BA73C" w14:textId="77777777" w:rsidR="009973BA" w:rsidRPr="009973BA" w:rsidRDefault="009973BA" w:rsidP="009973BA">
      <w:pPr>
        <w:pStyle w:val="BodyText"/>
      </w:pPr>
      <w:r w:rsidRPr="009973BA">
        <w:t>From a water</w:t>
      </w:r>
      <w:r w:rsidRPr="009973BA">
        <w:noBreakHyphen/>
        <w:t>resource perspective, Majuro’s high rainfall variability highlights the importance of robust storage capacity, drought</w:t>
      </w:r>
      <w:r w:rsidRPr="009973BA">
        <w:noBreakHyphen/>
        <w:t>preparedness planning, and continuous monitoring of precipitation conditions. Despite generally adequate annual rainfall, low</w:t>
      </w:r>
      <w:r w:rsidRPr="009973BA">
        <w:noBreakHyphen/>
        <w:t>lying atolls remain highly susceptible to extended dry periods, making reliable hydrologic information essential for effective water</w:t>
      </w:r>
      <w:r w:rsidRPr="009973BA">
        <w:noBreakHyphen/>
        <w:t>supply management.</w:t>
      </w:r>
    </w:p>
    <w:p w14:paraId="2AB9B395" w14:textId="77777777" w:rsidR="00D50270" w:rsidRPr="003B1806" w:rsidRDefault="00D50270" w:rsidP="009973BA">
      <w:pPr>
        <w:pStyle w:val="BodyText"/>
      </w:pPr>
    </w:p>
    <w:p w14:paraId="532043F7" w14:textId="7D54363D" w:rsidR="00A86375" w:rsidRDefault="004B5462" w:rsidP="004B5462">
      <w:pPr>
        <w:pStyle w:val="Head3"/>
      </w:pPr>
      <w:bookmarkStart w:id="48" w:name="_Toc227693251"/>
      <w:r>
        <w:t>Evapotranspiration</w:t>
      </w:r>
      <w:bookmarkEnd w:id="48"/>
    </w:p>
    <w:p w14:paraId="598DED22" w14:textId="77777777" w:rsidR="00400E6D" w:rsidRPr="00400E6D" w:rsidRDefault="00400E6D" w:rsidP="00400E6D">
      <w:pPr>
        <w:pStyle w:val="BodyText"/>
      </w:pPr>
      <w:r w:rsidRPr="00400E6D">
        <w:t xml:space="preserve">Because precipitation provides the dominant and often sole freshwater input to Majuro’s hydrologic system, understanding how much of this water is subsequently lost to the atmosphere is essential for evaluating water availability. Evapotranspiration (ET) represents the combined </w:t>
      </w:r>
      <w:r w:rsidRPr="00400E6D">
        <w:lastRenderedPageBreak/>
        <w:t>atmospheric water loss from evaporation (soil, water, and surfaces) and transpiration (vegetation) (DeJonge and others, 2025), and reflects the interaction of available solar energy, humidity, wind, and land</w:t>
      </w:r>
      <w:r w:rsidRPr="00400E6D">
        <w:noBreakHyphen/>
        <w:t>surface characteristics. Actual ET, as estimated by the SSEBop model (Senay and others, 2020), represents the portion of potential ET that is realized given the surface and atmospheric conditions.</w:t>
      </w:r>
    </w:p>
    <w:p w14:paraId="34CF27F7" w14:textId="52BE6C6D" w:rsidR="00400E6D" w:rsidRPr="00400E6D" w:rsidRDefault="00400E6D" w:rsidP="00400E6D">
      <w:pPr>
        <w:pStyle w:val="BodyText"/>
      </w:pPr>
      <w:r w:rsidRPr="00400E6D">
        <w:t>On Majuro Atoll, ET shows modest seasonal variability and remains considerably more stable than precipitation throughout the year (</w:t>
      </w:r>
      <w:r w:rsidR="00D31096">
        <w:fldChar w:fldCharType="begin"/>
      </w:r>
      <w:r w:rsidR="00D31096">
        <w:instrText xml:space="preserve"> REF _Ref227137174 \h </w:instrText>
      </w:r>
      <w:r w:rsidR="00D31096">
        <w:fldChar w:fldCharType="separate"/>
      </w:r>
      <w:r w:rsidR="00D31096" w:rsidRPr="00CC2116">
        <w:rPr>
          <w:rFonts w:ascii="Arial Narrow" w:hAnsi="Arial Narrow"/>
        </w:rPr>
        <w:t xml:space="preserve">Figure </w:t>
      </w:r>
      <w:r w:rsidR="00D31096">
        <w:rPr>
          <w:rFonts w:ascii="Arial Narrow" w:hAnsi="Arial Narrow"/>
          <w:noProof/>
        </w:rPr>
        <w:t>7</w:t>
      </w:r>
      <w:r w:rsidR="00D31096">
        <w:fldChar w:fldCharType="end"/>
      </w:r>
      <w:r w:rsidRPr="00400E6D">
        <w:t xml:space="preserve">). Unlike high islands with strong orographic rainfall gradients, Majuro’s climate is driven by equatorial trade winds and oceanic conditions, resulting in relatively consistent atmospheric energy available for ET. Monthly precipitation, however, varies widely—wetter months typically occur from May through November, while the December–April dry season can bring sharply reduced rainfall, particularly during El Niño events. In contrast, monthly actual ET fluctuates only within a narrow range, primarily influenced by changes in solar radiation, humidity, and cloud cover rather than by moisture availability. ET generally reaches its lowest </w:t>
      </w:r>
      <w:proofErr w:type="gramStart"/>
      <w:r w:rsidRPr="00400E6D">
        <w:t>values</w:t>
      </w:r>
      <w:proofErr w:type="gramEnd"/>
      <w:r w:rsidRPr="00400E6D">
        <w:t xml:space="preserve"> during the most humid and overcast periods of the wet season and increases slightly during clearer, sunnier months.</w:t>
      </w:r>
    </w:p>
    <w:p w14:paraId="7378B556" w14:textId="7280AEDC" w:rsidR="00D50270" w:rsidRDefault="00E10376" w:rsidP="00D50270">
      <w:pPr>
        <w:pStyle w:val="BodyText"/>
      </w:pPr>
      <w:r>
        <w:rPr>
          <w:noProof/>
        </w:rPr>
        <w:lastRenderedPageBreak/>
        <w:drawing>
          <wp:inline distT="0" distB="0" distL="0" distR="0" wp14:anchorId="4DC127FB" wp14:editId="195815CA">
            <wp:extent cx="5943600" cy="3718370"/>
            <wp:effectExtent l="0" t="0" r="0" b="0"/>
            <wp:docPr id="884380575" name="Chart 1">
              <a:extLst xmlns:a="http://schemas.openxmlformats.org/drawingml/2006/main">
                <a:ext uri="{FF2B5EF4-FFF2-40B4-BE49-F238E27FC236}">
                  <a16:creationId xmlns:a16="http://schemas.microsoft.com/office/drawing/2014/main" id="{01F2014F-0261-470A-BF3E-441AF1AF78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1793A7E" w14:textId="43850529" w:rsidR="00CC2116" w:rsidRPr="00CC2116" w:rsidRDefault="00CC2116" w:rsidP="00CC2116">
      <w:pPr>
        <w:pStyle w:val="Caption"/>
        <w:rPr>
          <w:rFonts w:ascii="Arial Narrow" w:hAnsi="Arial Narrow"/>
        </w:rPr>
      </w:pPr>
      <w:bookmarkStart w:id="49" w:name="_Ref227137174"/>
      <w:bookmarkStart w:id="50" w:name="_Toc228286446"/>
      <w:r w:rsidRPr="00CC2116">
        <w:rPr>
          <w:rFonts w:ascii="Arial Narrow" w:hAnsi="Arial Narrow"/>
        </w:rPr>
        <w:t xml:space="preserve">Figure </w:t>
      </w:r>
      <w:r w:rsidRPr="00CC2116">
        <w:rPr>
          <w:rFonts w:ascii="Arial Narrow" w:hAnsi="Arial Narrow"/>
        </w:rPr>
        <w:fldChar w:fldCharType="begin"/>
      </w:r>
      <w:r w:rsidRPr="00CC2116">
        <w:rPr>
          <w:rFonts w:ascii="Arial Narrow" w:hAnsi="Arial Narrow"/>
        </w:rPr>
        <w:instrText xml:space="preserve"> SEQ Figure \* ARABIC </w:instrText>
      </w:r>
      <w:r w:rsidRPr="00CC2116">
        <w:rPr>
          <w:rFonts w:ascii="Arial Narrow" w:hAnsi="Arial Narrow"/>
        </w:rPr>
        <w:fldChar w:fldCharType="separate"/>
      </w:r>
      <w:r w:rsidR="002614BE">
        <w:rPr>
          <w:rFonts w:ascii="Arial Narrow" w:hAnsi="Arial Narrow"/>
          <w:noProof/>
        </w:rPr>
        <w:t>7</w:t>
      </w:r>
      <w:r w:rsidRPr="00CC2116">
        <w:rPr>
          <w:rFonts w:ascii="Arial Narrow" w:hAnsi="Arial Narrow"/>
        </w:rPr>
        <w:fldChar w:fldCharType="end"/>
      </w:r>
      <w:bookmarkEnd w:id="49"/>
      <w:r w:rsidRPr="00CC2116">
        <w:rPr>
          <w:rFonts w:ascii="Arial Narrow" w:hAnsi="Arial Narrow"/>
        </w:rPr>
        <w:t>. Average monthly precipitation and actual ET in mm.</w:t>
      </w:r>
      <w:bookmarkEnd w:id="50"/>
    </w:p>
    <w:p w14:paraId="04098CDA" w14:textId="639F4DD1" w:rsidR="00D50270" w:rsidRPr="00EA65C9" w:rsidRDefault="00D50270" w:rsidP="00D50270">
      <w:pPr>
        <w:pStyle w:val="BodyText"/>
        <w:ind w:firstLine="0"/>
        <w:rPr>
          <w:rFonts w:ascii="Arial Narrow" w:hAnsi="Arial Narrow"/>
        </w:rPr>
      </w:pPr>
      <w:r>
        <w:rPr>
          <w:rFonts w:ascii="Arial Narrow" w:hAnsi="Arial Narrow"/>
        </w:rPr>
        <w:tab/>
        <w:t xml:space="preserve">Alt. text. Area chart </w:t>
      </w:r>
      <w:proofErr w:type="gramStart"/>
      <w:r>
        <w:rPr>
          <w:rFonts w:ascii="Arial Narrow" w:hAnsi="Arial Narrow"/>
        </w:rPr>
        <w:t>showing</w:t>
      </w:r>
      <w:proofErr w:type="gramEnd"/>
      <w:r>
        <w:rPr>
          <w:rFonts w:ascii="Arial Narrow" w:hAnsi="Arial Narrow"/>
        </w:rPr>
        <w:t xml:space="preserve"> the average monthly precipitation in mm with blue hatch lines and actual ET in mm in green (solid).</w:t>
      </w:r>
    </w:p>
    <w:p w14:paraId="231169E4" w14:textId="77777777" w:rsidR="00400E6D" w:rsidRDefault="00400E6D" w:rsidP="00D50270">
      <w:pPr>
        <w:pStyle w:val="Caption"/>
        <w:rPr>
          <w:iCs w:val="0"/>
          <w:szCs w:val="24"/>
        </w:rPr>
      </w:pPr>
    </w:p>
    <w:p w14:paraId="40EF1834" w14:textId="75E26E30" w:rsidR="001A40DB" w:rsidRDefault="001A40DB" w:rsidP="001A40DB">
      <w:pPr>
        <w:pStyle w:val="Caption"/>
      </w:pPr>
      <w:bookmarkStart w:id="51" w:name="_Toc226968166"/>
      <w:r w:rsidRPr="001A40DB">
        <w:t>Annual ET totals show similarly limited variability. Across the available record (2013–2025), actual ET varies only modestly from year to year (</w:t>
      </w:r>
      <w:r w:rsidR="00E10376">
        <w:fldChar w:fldCharType="begin"/>
      </w:r>
      <w:r w:rsidR="00E10376">
        <w:instrText xml:space="preserve"> REF _Ref227692686 \h </w:instrText>
      </w:r>
      <w:r w:rsidR="00E10376">
        <w:fldChar w:fldCharType="separate"/>
      </w:r>
      <w:r w:rsidR="00E10376" w:rsidRPr="00A8699B">
        <w:rPr>
          <w:rFonts w:ascii="Arial Narrow" w:hAnsi="Arial Narrow"/>
        </w:rPr>
        <w:t xml:space="preserve">Figure </w:t>
      </w:r>
      <w:r w:rsidR="00E10376">
        <w:rPr>
          <w:rFonts w:ascii="Arial Narrow" w:hAnsi="Arial Narrow"/>
          <w:noProof/>
        </w:rPr>
        <w:t>8</w:t>
      </w:r>
      <w:r w:rsidR="00E10376">
        <w:fldChar w:fldCharType="end"/>
      </w:r>
      <w:r w:rsidRPr="001A40DB">
        <w:t>), with annual totals remaining much more consistent than the large fluctuations observed in annual rainfall. This stability reflects Majuro’s energy</w:t>
      </w:r>
      <w:r w:rsidRPr="001A40DB">
        <w:noBreakHyphen/>
        <w:t>driven ET regime and underscores the dominant role of precipitation in determining hydrologic surplus or deficit on the atoll.</w:t>
      </w:r>
    </w:p>
    <w:p w14:paraId="1D899C9D" w14:textId="77777777" w:rsidR="001A40DB" w:rsidRPr="001A40DB" w:rsidRDefault="001A40DB" w:rsidP="001A40DB"/>
    <w:p w14:paraId="4363C502" w14:textId="7A7C3227" w:rsidR="00D50270" w:rsidRDefault="000E0BCA" w:rsidP="00D50270">
      <w:pPr>
        <w:pStyle w:val="Caption"/>
        <w:rPr>
          <w:rFonts w:ascii="Arial Narrow" w:hAnsi="Arial Narrow"/>
        </w:rPr>
      </w:pPr>
      <w:r>
        <w:rPr>
          <w:noProof/>
        </w:rPr>
        <w:lastRenderedPageBreak/>
        <w:drawing>
          <wp:inline distT="0" distB="0" distL="0" distR="0" wp14:anchorId="099CF64F" wp14:editId="38EE318E">
            <wp:extent cx="5943600" cy="3821373"/>
            <wp:effectExtent l="0" t="0" r="0" b="8255"/>
            <wp:docPr id="1616207214" name="Chart 1">
              <a:extLst xmlns:a="http://schemas.openxmlformats.org/drawingml/2006/main">
                <a:ext uri="{FF2B5EF4-FFF2-40B4-BE49-F238E27FC236}">
                  <a16:creationId xmlns:a16="http://schemas.microsoft.com/office/drawing/2014/main" id="{FCF8C94B-9A6C-436C-8EBE-6234FD0748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9DA7AA0" w14:textId="4442CB6F" w:rsidR="00A8699B" w:rsidRPr="00A8699B" w:rsidRDefault="00A8699B" w:rsidP="00A8699B">
      <w:pPr>
        <w:pStyle w:val="Caption"/>
        <w:rPr>
          <w:rFonts w:ascii="Arial Narrow" w:hAnsi="Arial Narrow"/>
        </w:rPr>
      </w:pPr>
      <w:bookmarkStart w:id="52" w:name="_Ref227692686"/>
      <w:bookmarkStart w:id="53" w:name="_Toc228286447"/>
      <w:bookmarkEnd w:id="51"/>
      <w:r w:rsidRPr="00A8699B">
        <w:rPr>
          <w:rFonts w:ascii="Arial Narrow" w:hAnsi="Arial Narrow"/>
        </w:rPr>
        <w:t xml:space="preserve">Figure </w:t>
      </w:r>
      <w:r w:rsidRPr="00A8699B">
        <w:rPr>
          <w:rFonts w:ascii="Arial Narrow" w:hAnsi="Arial Narrow"/>
        </w:rPr>
        <w:fldChar w:fldCharType="begin"/>
      </w:r>
      <w:r w:rsidRPr="00A8699B">
        <w:rPr>
          <w:rFonts w:ascii="Arial Narrow" w:hAnsi="Arial Narrow"/>
        </w:rPr>
        <w:instrText xml:space="preserve"> SEQ Figure \* ARABIC </w:instrText>
      </w:r>
      <w:r w:rsidRPr="00A8699B">
        <w:rPr>
          <w:rFonts w:ascii="Arial Narrow" w:hAnsi="Arial Narrow"/>
        </w:rPr>
        <w:fldChar w:fldCharType="separate"/>
      </w:r>
      <w:r w:rsidR="002614BE">
        <w:rPr>
          <w:rFonts w:ascii="Arial Narrow" w:hAnsi="Arial Narrow"/>
          <w:noProof/>
        </w:rPr>
        <w:t>8</w:t>
      </w:r>
      <w:r w:rsidRPr="00A8699B">
        <w:rPr>
          <w:rFonts w:ascii="Arial Narrow" w:hAnsi="Arial Narrow"/>
        </w:rPr>
        <w:fldChar w:fldCharType="end"/>
      </w:r>
      <w:bookmarkEnd w:id="52"/>
      <w:r w:rsidRPr="00A8699B">
        <w:rPr>
          <w:rFonts w:ascii="Arial Narrow" w:hAnsi="Arial Narrow"/>
        </w:rPr>
        <w:t>. Annual actual ET for years 2013 - 2025 in mm.</w:t>
      </w:r>
      <w:bookmarkEnd w:id="53"/>
      <w:r w:rsidR="00D50270" w:rsidRPr="00A8699B">
        <w:rPr>
          <w:rFonts w:ascii="Arial Narrow" w:hAnsi="Arial Narrow"/>
        </w:rPr>
        <w:tab/>
      </w:r>
    </w:p>
    <w:p w14:paraId="7832C770" w14:textId="4AFAFD76" w:rsidR="00D50270" w:rsidRPr="009F43CC" w:rsidRDefault="00D50270" w:rsidP="00A8699B">
      <w:pPr>
        <w:pStyle w:val="Caption"/>
        <w:ind w:firstLine="720"/>
        <w:rPr>
          <w:rFonts w:ascii="Arial Narrow" w:hAnsi="Arial Narrow"/>
        </w:rPr>
      </w:pPr>
      <w:r>
        <w:rPr>
          <w:rFonts w:ascii="Arial Narrow" w:hAnsi="Arial Narrow"/>
        </w:rPr>
        <w:t>Alt. text. Bar chart with a</w:t>
      </w:r>
      <w:r w:rsidRPr="00144922">
        <w:rPr>
          <w:rFonts w:ascii="Arial Narrow" w:hAnsi="Arial Narrow"/>
        </w:rPr>
        <w:t>nnual actual ET for years 2013 - 2025 in mm</w:t>
      </w:r>
      <w:r>
        <w:rPr>
          <w:rFonts w:ascii="Arial Narrow" w:hAnsi="Arial Narrow"/>
        </w:rPr>
        <w:t>.</w:t>
      </w:r>
    </w:p>
    <w:p w14:paraId="1BB83ABC" w14:textId="77777777" w:rsidR="001A40DB" w:rsidRPr="001A40DB" w:rsidRDefault="001A40DB" w:rsidP="001A40DB">
      <w:pPr>
        <w:pStyle w:val="BodyText"/>
      </w:pPr>
      <w:r w:rsidRPr="001A40DB">
        <w:t>Because ET remains comparatively steady while precipitation is highly variable, Majuro’s water</w:t>
      </w:r>
      <w:r w:rsidRPr="001A40DB">
        <w:noBreakHyphen/>
        <w:t>resource conditions are extremely sensitive to reductions in rainfall. Extended dry periods can quickly lead to freshwater shortages because ET continues at near</w:t>
      </w:r>
      <w:r w:rsidRPr="001A40DB">
        <w:noBreakHyphen/>
        <w:t>normal levels even during droughts. Water</w:t>
      </w:r>
      <w:r w:rsidRPr="001A40DB">
        <w:noBreakHyphen/>
        <w:t>resource planning must therefore prioritize drought preparedness, storage capacity, and careful management of the airport</w:t>
      </w:r>
      <w:r w:rsidRPr="001A40DB">
        <w:noBreakHyphen/>
        <w:t>runway catchment and household rainwater systems to maintain supply during prolonged dry seasons or ENSO</w:t>
      </w:r>
      <w:r w:rsidRPr="001A40DB">
        <w:noBreakHyphen/>
        <w:t>driven drought events.</w:t>
      </w:r>
    </w:p>
    <w:p w14:paraId="4EA57047" w14:textId="77777777" w:rsidR="00085E36" w:rsidRDefault="00085E36" w:rsidP="001A40DB">
      <w:pPr>
        <w:pStyle w:val="BodyText"/>
      </w:pPr>
    </w:p>
    <w:p w14:paraId="66A1D4D6" w14:textId="1D436645" w:rsidR="004B5462" w:rsidRDefault="004B5462" w:rsidP="004B5462">
      <w:pPr>
        <w:pStyle w:val="Head3"/>
      </w:pPr>
      <w:bookmarkStart w:id="54" w:name="_Toc227693252"/>
      <w:r>
        <w:lastRenderedPageBreak/>
        <w:t>Water Balance</w:t>
      </w:r>
      <w:bookmarkEnd w:id="54"/>
    </w:p>
    <w:p w14:paraId="5E42FE88" w14:textId="79CEF6D9" w:rsidR="00FD6C97" w:rsidRPr="00FD6C97" w:rsidRDefault="00FD6C97" w:rsidP="00FD6C97">
      <w:pPr>
        <w:pStyle w:val="BodyText"/>
      </w:pPr>
      <w:bookmarkStart w:id="55" w:name="_Toc226968167"/>
      <w:r w:rsidRPr="00FD6C97">
        <w:t>The water balance, or net water availability, represents the surplus of water remaining after subtracting actual ET from precipitation (P) at monthly and annual scales. On Majuro Atoll, monthly net water varies widely throughout the year due to strong seasonal rainfall patterns and the atoll’s dependence on direct precipitation for freshwater supply. During wetter months</w:t>
      </w:r>
      <w:r w:rsidR="005B0134">
        <w:t xml:space="preserve"> which are </w:t>
      </w:r>
      <w:r w:rsidRPr="00FD6C97">
        <w:t>typically between May and November</w:t>
      </w:r>
      <w:r w:rsidR="005B0134">
        <w:t xml:space="preserve">, </w:t>
      </w:r>
      <w:r w:rsidRPr="00FD6C97">
        <w:t xml:space="preserve">net monthly water is often positive, reflecting periods when rainfall exceeds </w:t>
      </w:r>
      <w:r w:rsidRPr="00665A45">
        <w:t>atmospheric water loss</w:t>
      </w:r>
      <w:r w:rsidR="00BC25E3" w:rsidRPr="00665A45">
        <w:t xml:space="preserve">, such as </w:t>
      </w:r>
      <w:r w:rsidR="00E7081B" w:rsidRPr="00665A45">
        <w:t>March</w:t>
      </w:r>
      <w:r w:rsidR="00BC25E3" w:rsidRPr="00665A45">
        <w:t xml:space="preserve"> 20</w:t>
      </w:r>
      <w:r w:rsidR="00E7081B" w:rsidRPr="00665A45">
        <w:t>15</w:t>
      </w:r>
      <w:r w:rsidR="00BC25E3" w:rsidRPr="00665A45">
        <w:t xml:space="preserve"> (</w:t>
      </w:r>
      <w:r w:rsidR="00E7081B" w:rsidRPr="00665A45">
        <w:t>460</w:t>
      </w:r>
      <w:r w:rsidR="00BC25E3" w:rsidRPr="00665A45">
        <w:t xml:space="preserve"> mm), </w:t>
      </w:r>
      <w:r w:rsidR="00E7081B" w:rsidRPr="00665A45">
        <w:t>May</w:t>
      </w:r>
      <w:r w:rsidR="0050327B" w:rsidRPr="00665A45">
        <w:t xml:space="preserve"> </w:t>
      </w:r>
      <w:r w:rsidR="00BC25E3" w:rsidRPr="00665A45">
        <w:t>202</w:t>
      </w:r>
      <w:r w:rsidR="0050327B" w:rsidRPr="00665A45">
        <w:t>1</w:t>
      </w:r>
      <w:r w:rsidR="00BC25E3" w:rsidRPr="00665A45">
        <w:t xml:space="preserve"> (</w:t>
      </w:r>
      <w:r w:rsidR="0050327B" w:rsidRPr="00665A45">
        <w:t>450</w:t>
      </w:r>
      <w:r w:rsidR="00BC25E3" w:rsidRPr="00665A45">
        <w:t xml:space="preserve"> mm), </w:t>
      </w:r>
      <w:r w:rsidR="0050327B" w:rsidRPr="00665A45">
        <w:t xml:space="preserve">and April 2014 </w:t>
      </w:r>
      <w:r w:rsidR="00BC25E3" w:rsidRPr="00665A45">
        <w:t>(</w:t>
      </w:r>
      <w:r w:rsidR="00665A45" w:rsidRPr="00665A45">
        <w:t>3</w:t>
      </w:r>
      <w:r w:rsidR="00BC25E3" w:rsidRPr="00665A45">
        <w:t>8</w:t>
      </w:r>
      <w:r w:rsidR="00665A45" w:rsidRPr="00665A45">
        <w:t>4</w:t>
      </w:r>
      <w:r w:rsidR="00BC25E3" w:rsidRPr="00665A45">
        <w:t xml:space="preserve"> mm (</w:t>
      </w:r>
      <w:r w:rsidR="00C12574">
        <w:fldChar w:fldCharType="begin"/>
      </w:r>
      <w:r w:rsidR="00C12574">
        <w:instrText xml:space="preserve"> REF _Ref227137690 \h </w:instrText>
      </w:r>
      <w:r w:rsidR="00C12574">
        <w:fldChar w:fldCharType="separate"/>
      </w:r>
      <w:r w:rsidR="00C12574" w:rsidRPr="002003E5">
        <w:rPr>
          <w:rFonts w:ascii="Arial Narrow" w:hAnsi="Arial Narrow"/>
        </w:rPr>
        <w:t xml:space="preserve">Figure </w:t>
      </w:r>
      <w:r w:rsidR="00C12574">
        <w:rPr>
          <w:rFonts w:ascii="Arial Narrow" w:hAnsi="Arial Narrow"/>
          <w:noProof/>
        </w:rPr>
        <w:t>9</w:t>
      </w:r>
      <w:r w:rsidR="00C12574">
        <w:fldChar w:fldCharType="end"/>
      </w:r>
      <w:r w:rsidR="00BC25E3" w:rsidRPr="00665A45">
        <w:t>).</w:t>
      </w:r>
      <w:r w:rsidR="00DA18F3" w:rsidRPr="00665A45">
        <w:t xml:space="preserve"> </w:t>
      </w:r>
      <w:r w:rsidRPr="00665A45">
        <w:t>In contrast, the dry season frequently produces negative values when ET surpasses precipitation, especially</w:t>
      </w:r>
      <w:r w:rsidRPr="00FD6C97">
        <w:t xml:space="preserve"> during El Niño years when rainfall suppression can be severe</w:t>
      </w:r>
      <w:r w:rsidR="00732351">
        <w:t xml:space="preserve">, such as </w:t>
      </w:r>
      <w:r w:rsidR="00A21985">
        <w:t>in 2016 (-142 mm)</w:t>
      </w:r>
      <w:r w:rsidR="00665A45">
        <w:t xml:space="preserve"> </w:t>
      </w:r>
      <w:r w:rsidR="00A21985">
        <w:t>or most recently in 2024 (-100 mm)</w:t>
      </w:r>
      <w:r w:rsidRPr="00FD6C97">
        <w:t>. These deficits are particularly important because Majuro lacks rivers, groundwater storage of significant volume, or orographic rainfall that could buffer extended dry periods.</w:t>
      </w:r>
    </w:p>
    <w:p w14:paraId="5451E806" w14:textId="77777777" w:rsidR="00640294" w:rsidRDefault="00640294" w:rsidP="00640294">
      <w:pPr>
        <w:pStyle w:val="Caption"/>
        <w:rPr>
          <w:rFonts w:ascii="Arial Narrow" w:hAnsi="Arial Narrow"/>
        </w:rPr>
      </w:pPr>
    </w:p>
    <w:p w14:paraId="57A47109" w14:textId="15060023" w:rsidR="00F07BC1" w:rsidRPr="00F07BC1" w:rsidRDefault="007F7DFE" w:rsidP="00F07BC1">
      <w:r>
        <w:rPr>
          <w:noProof/>
        </w:rPr>
        <w:drawing>
          <wp:inline distT="0" distB="0" distL="0" distR="0" wp14:anchorId="76E2E157" wp14:editId="638C8F0C">
            <wp:extent cx="5943600" cy="3314065"/>
            <wp:effectExtent l="0" t="0" r="0" b="635"/>
            <wp:docPr id="541784592" name="Chart 1">
              <a:extLst xmlns:a="http://schemas.openxmlformats.org/drawingml/2006/main">
                <a:ext uri="{FF2B5EF4-FFF2-40B4-BE49-F238E27FC236}">
                  <a16:creationId xmlns:a16="http://schemas.microsoft.com/office/drawing/2014/main" id="{D0A7DD1D-46F2-4B47-80D4-9620F23016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C47F1F6" w14:textId="1DD63298" w:rsidR="002003E5" w:rsidRPr="002003E5" w:rsidRDefault="002003E5" w:rsidP="002003E5">
      <w:pPr>
        <w:pStyle w:val="Caption"/>
        <w:rPr>
          <w:rFonts w:ascii="Arial Narrow" w:hAnsi="Arial Narrow"/>
        </w:rPr>
      </w:pPr>
      <w:bookmarkStart w:id="56" w:name="_Ref227137690"/>
      <w:bookmarkStart w:id="57" w:name="_Toc228286448"/>
      <w:bookmarkEnd w:id="55"/>
      <w:r w:rsidRPr="002003E5">
        <w:rPr>
          <w:rFonts w:ascii="Arial Narrow" w:hAnsi="Arial Narrow"/>
        </w:rPr>
        <w:lastRenderedPageBreak/>
        <w:t xml:space="preserve">Figure </w:t>
      </w:r>
      <w:r w:rsidRPr="002003E5">
        <w:rPr>
          <w:rFonts w:ascii="Arial Narrow" w:hAnsi="Arial Narrow"/>
        </w:rPr>
        <w:fldChar w:fldCharType="begin"/>
      </w:r>
      <w:r w:rsidRPr="002003E5">
        <w:rPr>
          <w:rFonts w:ascii="Arial Narrow" w:hAnsi="Arial Narrow"/>
        </w:rPr>
        <w:instrText xml:space="preserve"> SEQ Figure \* ARABIC </w:instrText>
      </w:r>
      <w:r w:rsidRPr="002003E5">
        <w:rPr>
          <w:rFonts w:ascii="Arial Narrow" w:hAnsi="Arial Narrow"/>
        </w:rPr>
        <w:fldChar w:fldCharType="separate"/>
      </w:r>
      <w:r w:rsidR="002614BE">
        <w:rPr>
          <w:rFonts w:ascii="Arial Narrow" w:hAnsi="Arial Narrow"/>
          <w:noProof/>
        </w:rPr>
        <w:t>9</w:t>
      </w:r>
      <w:r w:rsidRPr="002003E5">
        <w:rPr>
          <w:rFonts w:ascii="Arial Narrow" w:hAnsi="Arial Narrow"/>
        </w:rPr>
        <w:fldChar w:fldCharType="end"/>
      </w:r>
      <w:bookmarkEnd w:id="56"/>
      <w:r w:rsidRPr="002003E5">
        <w:rPr>
          <w:rFonts w:ascii="Arial Narrow" w:hAnsi="Arial Narrow"/>
        </w:rPr>
        <w:t>. Monthly net water availability for years 2012 - 2025 in mm.</w:t>
      </w:r>
      <w:bookmarkEnd w:id="57"/>
      <w:r w:rsidR="00640294" w:rsidRPr="002003E5">
        <w:rPr>
          <w:rFonts w:ascii="Arial Narrow" w:hAnsi="Arial Narrow"/>
        </w:rPr>
        <w:tab/>
      </w:r>
    </w:p>
    <w:p w14:paraId="4721D3FC" w14:textId="7D32ADF1" w:rsidR="00640294" w:rsidRPr="00AF309D" w:rsidRDefault="00640294" w:rsidP="002003E5">
      <w:pPr>
        <w:pStyle w:val="Caption"/>
        <w:ind w:firstLine="720"/>
        <w:rPr>
          <w:rFonts w:ascii="Arial Narrow" w:hAnsi="Arial Narrow"/>
        </w:rPr>
      </w:pPr>
      <w:r>
        <w:rPr>
          <w:rFonts w:ascii="Arial Narrow" w:hAnsi="Arial Narrow"/>
        </w:rPr>
        <w:t>Alt. text. Bar chart showing m</w:t>
      </w:r>
      <w:r w:rsidRPr="00233067">
        <w:rPr>
          <w:rFonts w:ascii="Arial Narrow" w:hAnsi="Arial Narrow"/>
        </w:rPr>
        <w:t>onthly net water availability for years 2012 - 2025 in mm.</w:t>
      </w:r>
    </w:p>
    <w:p w14:paraId="7DB34710" w14:textId="72ADC6E3" w:rsidR="00B728C7" w:rsidRPr="00B728C7" w:rsidRDefault="00B728C7" w:rsidP="00B728C7">
      <w:pPr>
        <w:pStyle w:val="BodyText"/>
      </w:pPr>
      <w:r w:rsidRPr="00B728C7">
        <w:t>At the annual scale, Majuro’s net water availability reflects the pronounced influence of ENSO and seasonal variability. Wet years typically produce substantial annual surpluses</w:t>
      </w:r>
      <w:r w:rsidR="000B36C5">
        <w:t xml:space="preserve"> exceeding 2000 mm</w:t>
      </w:r>
      <w:r w:rsidRPr="00B728C7">
        <w:t>, whereas drought years can result in net water balances</w:t>
      </w:r>
      <w:r w:rsidR="006A76A8">
        <w:t xml:space="preserve"> below 1500 mm</w:t>
      </w:r>
      <w:r w:rsidR="001A6871">
        <w:t xml:space="preserve"> </w:t>
      </w:r>
      <w:r w:rsidR="004E4E9D">
        <w:t xml:space="preserve">(2013, </w:t>
      </w:r>
      <w:r w:rsidR="0086699B">
        <w:t>2016, 2019</w:t>
      </w:r>
      <w:r w:rsidR="004E4E9D">
        <w:t xml:space="preserve">) </w:t>
      </w:r>
      <w:r w:rsidR="001A6871">
        <w:t>(</w:t>
      </w:r>
      <w:r w:rsidR="00C12574">
        <w:fldChar w:fldCharType="begin"/>
      </w:r>
      <w:r w:rsidR="00C12574">
        <w:instrText xml:space="preserve"> REF _Ref227138084 \h </w:instrText>
      </w:r>
      <w:r w:rsidR="00C12574">
        <w:fldChar w:fldCharType="separate"/>
      </w:r>
      <w:r w:rsidR="00C12574" w:rsidRPr="00401B05">
        <w:rPr>
          <w:rFonts w:ascii="Arial Narrow" w:hAnsi="Arial Narrow"/>
        </w:rPr>
        <w:t xml:space="preserve">Figure </w:t>
      </w:r>
      <w:r w:rsidR="00C12574">
        <w:rPr>
          <w:rFonts w:ascii="Arial Narrow" w:hAnsi="Arial Narrow"/>
          <w:noProof/>
        </w:rPr>
        <w:t>10</w:t>
      </w:r>
      <w:r w:rsidR="00C12574">
        <w:fldChar w:fldCharType="end"/>
      </w:r>
      <w:r w:rsidR="001A6871">
        <w:t>)</w:t>
      </w:r>
      <w:r w:rsidRPr="00B728C7">
        <w:t>. Years affected by significant El Niño events commonly exhibit reduced rainfall and correspondingly low or negative net water availability, underscoring the atoll’s limited hydrologic buffering capacity. Across recent years, annual net water availability fluctuates considerably, mirroring the large interannual swings in rainfall that dominate Majuro’s climate.</w:t>
      </w:r>
      <w:r w:rsidR="0012766F">
        <w:t xml:space="preserve"> </w:t>
      </w:r>
      <w:r w:rsidR="0012766F" w:rsidRPr="00AF1B24">
        <w:t>Across the most recent five-year period (2020–2024), the mean annual net water is approximately 1,</w:t>
      </w:r>
      <w:r w:rsidR="00D6060F">
        <w:t>842</w:t>
      </w:r>
      <w:r w:rsidR="0012766F" w:rsidRPr="00AF1B24">
        <w:t xml:space="preserve"> mm/yr, indicating a consistent but more moderate surplus than that of extremely high‑rainfall islands.</w:t>
      </w:r>
    </w:p>
    <w:p w14:paraId="474523BD" w14:textId="22400872" w:rsidR="00640294" w:rsidRDefault="007F7DFE" w:rsidP="00865C7F">
      <w:pPr>
        <w:pStyle w:val="BodyText"/>
        <w:ind w:firstLine="0"/>
      </w:pPr>
      <w:r>
        <w:rPr>
          <w:noProof/>
        </w:rPr>
        <w:drawing>
          <wp:inline distT="0" distB="0" distL="0" distR="0" wp14:anchorId="3FDCD78C" wp14:editId="29523E5F">
            <wp:extent cx="5943600" cy="2936240"/>
            <wp:effectExtent l="0" t="0" r="0" b="0"/>
            <wp:docPr id="42413745" name="Chart 1">
              <a:extLst xmlns:a="http://schemas.openxmlformats.org/drawingml/2006/main">
                <a:ext uri="{FF2B5EF4-FFF2-40B4-BE49-F238E27FC236}">
                  <a16:creationId xmlns:a16="http://schemas.microsoft.com/office/drawing/2014/main" id="{CB5765B0-ACB2-40A9-887F-D446467C6F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EBAE8E4" w14:textId="052D3D71" w:rsidR="00401B05" w:rsidRPr="00401B05" w:rsidRDefault="00401B05" w:rsidP="00401B05">
      <w:pPr>
        <w:pStyle w:val="Caption"/>
        <w:rPr>
          <w:rFonts w:ascii="Arial Narrow" w:hAnsi="Arial Narrow"/>
        </w:rPr>
      </w:pPr>
      <w:bookmarkStart w:id="58" w:name="_Ref227138084"/>
      <w:bookmarkStart w:id="59" w:name="_Toc228286449"/>
      <w:r w:rsidRPr="00401B05">
        <w:rPr>
          <w:rFonts w:ascii="Arial Narrow" w:hAnsi="Arial Narrow"/>
        </w:rPr>
        <w:t xml:space="preserve">Figure </w:t>
      </w:r>
      <w:r w:rsidRPr="00401B05">
        <w:rPr>
          <w:rFonts w:ascii="Arial Narrow" w:hAnsi="Arial Narrow"/>
        </w:rPr>
        <w:fldChar w:fldCharType="begin"/>
      </w:r>
      <w:r w:rsidRPr="00401B05">
        <w:rPr>
          <w:rFonts w:ascii="Arial Narrow" w:hAnsi="Arial Narrow"/>
        </w:rPr>
        <w:instrText xml:space="preserve"> SEQ Figure \* ARABIC </w:instrText>
      </w:r>
      <w:r w:rsidRPr="00401B05">
        <w:rPr>
          <w:rFonts w:ascii="Arial Narrow" w:hAnsi="Arial Narrow"/>
        </w:rPr>
        <w:fldChar w:fldCharType="separate"/>
      </w:r>
      <w:r w:rsidR="002614BE">
        <w:rPr>
          <w:rFonts w:ascii="Arial Narrow" w:hAnsi="Arial Narrow"/>
          <w:noProof/>
        </w:rPr>
        <w:t>10</w:t>
      </w:r>
      <w:r w:rsidRPr="00401B05">
        <w:rPr>
          <w:rFonts w:ascii="Arial Narrow" w:hAnsi="Arial Narrow"/>
        </w:rPr>
        <w:fldChar w:fldCharType="end"/>
      </w:r>
      <w:bookmarkEnd w:id="58"/>
      <w:r w:rsidRPr="00401B05">
        <w:rPr>
          <w:rFonts w:ascii="Arial Narrow" w:hAnsi="Arial Narrow"/>
        </w:rPr>
        <w:t>. Net water availability per year in mm.</w:t>
      </w:r>
      <w:bookmarkEnd w:id="59"/>
    </w:p>
    <w:p w14:paraId="2A345931" w14:textId="3B2C54B8" w:rsidR="00640294" w:rsidRDefault="00640294" w:rsidP="00640294">
      <w:pPr>
        <w:pStyle w:val="BodyText"/>
        <w:ind w:left="720" w:firstLine="0"/>
        <w:rPr>
          <w:rFonts w:ascii="Arial Narrow" w:hAnsi="Arial Narrow"/>
        </w:rPr>
      </w:pPr>
      <w:r>
        <w:rPr>
          <w:rFonts w:ascii="Arial Narrow" w:hAnsi="Arial Narrow"/>
        </w:rPr>
        <w:lastRenderedPageBreak/>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5C2B9E8A" w14:textId="77777777" w:rsidR="0028592E" w:rsidRPr="0028592E" w:rsidRDefault="0028592E" w:rsidP="0028592E">
      <w:pPr>
        <w:pStyle w:val="BodyText"/>
      </w:pPr>
      <w:r w:rsidRPr="0028592E">
        <w:t>Overall, the combination of stable ET and highly variable rainfall results in a water</w:t>
      </w:r>
      <w:r w:rsidRPr="0028592E">
        <w:noBreakHyphen/>
        <w:t>balance regime that is strongly rainfall</w:t>
      </w:r>
      <w:r w:rsidRPr="0028592E">
        <w:noBreakHyphen/>
        <w:t>dependent and highly vulnerable to dry</w:t>
      </w:r>
      <w:r w:rsidRPr="0028592E">
        <w:noBreakHyphen/>
        <w:t>season deficits and ENSO</w:t>
      </w:r>
      <w:r w:rsidRPr="0028592E">
        <w:noBreakHyphen/>
        <w:t>driven droughts. Even in wetter years, the absence of natural surface</w:t>
      </w:r>
      <w:r w:rsidRPr="0028592E">
        <w:noBreakHyphen/>
        <w:t>water systems means that effective freshwater availability depends on adequate collection and storage infrastructure. Continuous monitoring of short</w:t>
      </w:r>
      <w:r w:rsidRPr="0028592E">
        <w:noBreakHyphen/>
        <w:t>term deficits, maximizing storage capacity, and preparing for both prolonged droughts and intense rainfall events are therefore essential components of Majuro’s water</w:t>
      </w:r>
      <w:r w:rsidRPr="0028592E">
        <w:noBreakHyphen/>
        <w:t>resource management strategy.</w:t>
      </w:r>
    </w:p>
    <w:p w14:paraId="69A769B5" w14:textId="77777777" w:rsidR="00640294" w:rsidRPr="00D70D8C" w:rsidRDefault="00640294" w:rsidP="00D70D8C"/>
    <w:p w14:paraId="696F054F" w14:textId="20388C67" w:rsidR="004B5462" w:rsidRDefault="004B5462" w:rsidP="004B5462">
      <w:pPr>
        <w:pStyle w:val="Head3"/>
      </w:pPr>
      <w:bookmarkStart w:id="60" w:name="_Toc227693253"/>
      <w:r w:rsidRPr="00AB771E">
        <w:t>Drought Monitoring</w:t>
      </w:r>
      <w:bookmarkEnd w:id="60"/>
    </w:p>
    <w:p w14:paraId="4FD46529" w14:textId="77777777" w:rsidR="000162D0" w:rsidRDefault="000162D0" w:rsidP="000162D0">
      <w:pPr>
        <w:rPr>
          <w:rFonts w:ascii="Arial" w:hAnsi="Arial" w:cs="Arial"/>
          <w:i/>
          <w:iCs/>
          <w:sz w:val="22"/>
          <w:szCs w:val="22"/>
        </w:rPr>
      </w:pPr>
      <w:r w:rsidRPr="00E86A5D">
        <w:rPr>
          <w:rFonts w:ascii="Arial" w:hAnsi="Arial" w:cs="Arial"/>
          <w:i/>
          <w:iCs/>
          <w:sz w:val="22"/>
          <w:szCs w:val="22"/>
        </w:rPr>
        <w:t>Rainfall Index</w:t>
      </w:r>
    </w:p>
    <w:p w14:paraId="6B967CA2" w14:textId="75B7286D" w:rsidR="000261D8" w:rsidRDefault="00E4753E" w:rsidP="000261D8">
      <w:r>
        <w:rPr>
          <w:rFonts w:eastAsia="Times New Roman" w:cs="Times New Roman"/>
        </w:rPr>
        <w:t>Results are presented across the full monitoring record of 314 monthly observations (January 2000 through February 2026).</w:t>
      </w:r>
      <w:r w:rsidR="00A7355D">
        <w:rPr>
          <w:rFonts w:eastAsia="Times New Roman" w:cs="Times New Roman"/>
        </w:rPr>
        <w:t xml:space="preserve"> The 1-month Rainfall Index time series for </w:t>
      </w:r>
      <w:r w:rsidR="00A7355D" w:rsidRPr="00811299">
        <w:rPr>
          <w:rFonts w:eastAsia="Times New Roman" w:cs="Times New Roman"/>
        </w:rPr>
        <w:t>Majuro (</w:t>
      </w:r>
      <w:r w:rsidR="00992123">
        <w:rPr>
          <w:rFonts w:eastAsia="Times New Roman" w:cs="Times New Roman"/>
        </w:rPr>
        <w:fldChar w:fldCharType="begin"/>
      </w:r>
      <w:r w:rsidR="00992123">
        <w:rPr>
          <w:rFonts w:eastAsia="Times New Roman" w:cs="Times New Roman"/>
        </w:rPr>
        <w:instrText xml:space="preserve"> REF _Ref227595580 \h </w:instrText>
      </w:r>
      <w:r w:rsidR="00992123">
        <w:rPr>
          <w:rFonts w:eastAsia="Times New Roman" w:cs="Times New Roman"/>
        </w:rPr>
      </w:r>
      <w:r w:rsidR="00992123">
        <w:rPr>
          <w:rFonts w:eastAsia="Times New Roman" w:cs="Times New Roman"/>
        </w:rPr>
        <w:fldChar w:fldCharType="separate"/>
      </w:r>
      <w:r w:rsidR="00992123" w:rsidRPr="003B35C8">
        <w:rPr>
          <w:rFonts w:ascii="Arial Narrow" w:hAnsi="Arial Narrow"/>
        </w:rPr>
        <w:t xml:space="preserve">Figure </w:t>
      </w:r>
      <w:r w:rsidR="00992123">
        <w:rPr>
          <w:rFonts w:ascii="Arial Narrow" w:hAnsi="Arial Narrow"/>
          <w:noProof/>
        </w:rPr>
        <w:t>11</w:t>
      </w:r>
      <w:r w:rsidR="00992123">
        <w:rPr>
          <w:rFonts w:eastAsia="Times New Roman" w:cs="Times New Roman"/>
        </w:rPr>
        <w:fldChar w:fldCharType="end"/>
      </w:r>
      <w:r w:rsidR="00A7355D" w:rsidRPr="00811299">
        <w:rPr>
          <w:rFonts w:eastAsia="Times New Roman" w:cs="Times New Roman"/>
        </w:rPr>
        <w:t>A)</w:t>
      </w:r>
      <w:r w:rsidR="00A7355D">
        <w:rPr>
          <w:rFonts w:eastAsia="Times New Roman" w:cs="Times New Roman"/>
        </w:rPr>
        <w:t xml:space="preserve"> shows Drier classifications in 64 of 314 months (20 percent) and Dry in 63 months (20 percent), closely approximating the expected quintile distribution. The PEAC index classified 36 months (11 percent) as Red and 74 months (24 percent) as Yellow, meaning that more than one-third of all months (35 percent) received less than 8 inches of precipitation. This frequency of PEAC-Yellow and PEAC-Red conditions is higher than at the eastern FSM sites (Pohnpei at 22 percent and Kosrae at 10 percent) but lower than at Yap (44 percent), reflecting Majuro’s intermediate position in the Pacific precipitation gradient.</w:t>
      </w:r>
    </w:p>
    <w:p w14:paraId="644F6D3C" w14:textId="64DC7253" w:rsidR="00A7355D" w:rsidRDefault="00A7355D" w:rsidP="000261D8">
      <w:pPr>
        <w:ind w:firstLine="720"/>
      </w:pPr>
      <w:r>
        <w:rPr>
          <w:rFonts w:eastAsia="Times New Roman" w:cs="Times New Roman"/>
        </w:rPr>
        <w:lastRenderedPageBreak/>
        <w:t>At the 3-month timescale (</w:t>
      </w:r>
      <w:r w:rsidR="00865C7F">
        <w:rPr>
          <w:rFonts w:eastAsia="Times New Roman" w:cs="Times New Roman"/>
        </w:rPr>
        <w:fldChar w:fldCharType="begin"/>
      </w:r>
      <w:r w:rsidR="00865C7F">
        <w:rPr>
          <w:rFonts w:eastAsia="Times New Roman" w:cs="Times New Roman"/>
        </w:rPr>
        <w:instrText xml:space="preserve"> REF _Ref227595580 \h </w:instrText>
      </w:r>
      <w:r w:rsidR="00865C7F">
        <w:rPr>
          <w:rFonts w:eastAsia="Times New Roman" w:cs="Times New Roman"/>
        </w:rPr>
      </w:r>
      <w:r w:rsidR="00865C7F">
        <w:rPr>
          <w:rFonts w:eastAsia="Times New Roman" w:cs="Times New Roman"/>
        </w:rPr>
        <w:fldChar w:fldCharType="separate"/>
      </w:r>
      <w:r w:rsidR="00865C7F" w:rsidRPr="003B35C8">
        <w:rPr>
          <w:rFonts w:ascii="Arial Narrow" w:hAnsi="Arial Narrow"/>
        </w:rPr>
        <w:t xml:space="preserve">Figure </w:t>
      </w:r>
      <w:r w:rsidR="00865C7F">
        <w:rPr>
          <w:rFonts w:ascii="Arial Narrow" w:hAnsi="Arial Narrow"/>
          <w:noProof/>
        </w:rPr>
        <w:t>11</w:t>
      </w:r>
      <w:r w:rsidR="00865C7F">
        <w:rPr>
          <w:rFonts w:eastAsia="Times New Roman" w:cs="Times New Roman"/>
        </w:rPr>
        <w:fldChar w:fldCharType="end"/>
      </w:r>
      <w:r>
        <w:rPr>
          <w:rFonts w:eastAsia="Times New Roman" w:cs="Times New Roman"/>
        </w:rPr>
        <w:t>B), 67 months were classified as Drier and 61 as Dry. At the 6-month timescale (</w:t>
      </w:r>
      <w:r w:rsidR="00865C7F">
        <w:rPr>
          <w:rFonts w:eastAsia="Times New Roman" w:cs="Times New Roman"/>
        </w:rPr>
        <w:fldChar w:fldCharType="begin"/>
      </w:r>
      <w:r w:rsidR="00865C7F">
        <w:rPr>
          <w:rFonts w:eastAsia="Times New Roman" w:cs="Times New Roman"/>
        </w:rPr>
        <w:instrText xml:space="preserve"> REF _Ref227595580 \h </w:instrText>
      </w:r>
      <w:r w:rsidR="00865C7F">
        <w:rPr>
          <w:rFonts w:eastAsia="Times New Roman" w:cs="Times New Roman"/>
        </w:rPr>
      </w:r>
      <w:r w:rsidR="00865C7F">
        <w:rPr>
          <w:rFonts w:eastAsia="Times New Roman" w:cs="Times New Roman"/>
        </w:rPr>
        <w:fldChar w:fldCharType="separate"/>
      </w:r>
      <w:r w:rsidR="00865C7F" w:rsidRPr="003B35C8">
        <w:rPr>
          <w:rFonts w:ascii="Arial Narrow" w:hAnsi="Arial Narrow"/>
        </w:rPr>
        <w:t xml:space="preserve">Figure </w:t>
      </w:r>
      <w:r w:rsidR="00865C7F">
        <w:rPr>
          <w:rFonts w:ascii="Arial Narrow" w:hAnsi="Arial Narrow"/>
          <w:noProof/>
        </w:rPr>
        <w:t>11</w:t>
      </w:r>
      <w:r w:rsidR="00865C7F">
        <w:rPr>
          <w:rFonts w:eastAsia="Times New Roman" w:cs="Times New Roman"/>
        </w:rPr>
        <w:fldChar w:fldCharType="end"/>
      </w:r>
      <w:r>
        <w:rPr>
          <w:rFonts w:eastAsia="Times New Roman" w:cs="Times New Roman"/>
        </w:rPr>
        <w:t>C), 65 months were Drier and 61 were Dry, yielding a combined below-Typical frequency of 41 percent. The 6-month window reveals sustained multi-month deficit periods, most prominently during 2007, 2009, and 2015–2016, when the cumulative precipitation remained in the Drier or Dry category for extended stretches.</w:t>
      </w:r>
    </w:p>
    <w:p w14:paraId="1D65B88E" w14:textId="77777777" w:rsidR="003B35C8" w:rsidRDefault="00A7355D" w:rsidP="003B35C8">
      <w:pPr>
        <w:keepNext/>
        <w:spacing w:before="160" w:after="60"/>
        <w:jc w:val="center"/>
      </w:pPr>
      <w:r>
        <w:rPr>
          <w:noProof/>
        </w:rPr>
        <w:drawing>
          <wp:inline distT="0" distB="0" distL="0" distR="0" wp14:anchorId="050EFF34" wp14:editId="2B613393">
            <wp:extent cx="5715000" cy="4953000"/>
            <wp:effectExtent l="0" t="0" r="0" b="0"/>
            <wp:docPr id="1193261555" name="Majuro RI Time Series" descr="Three-panel quintile-based Rainfall Index time series for Majuro." title="Majuro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5715000" cy="4953000"/>
                    </a:xfrm>
                    <a:prstGeom prst="rect">
                      <a:avLst/>
                    </a:prstGeom>
                  </pic:spPr>
                </pic:pic>
              </a:graphicData>
            </a:graphic>
          </wp:inline>
        </w:drawing>
      </w:r>
    </w:p>
    <w:p w14:paraId="561E708F" w14:textId="662A0E6A" w:rsidR="00A7355D" w:rsidRPr="003B35C8" w:rsidRDefault="003B35C8" w:rsidP="003B35C8">
      <w:pPr>
        <w:pStyle w:val="Caption"/>
        <w:rPr>
          <w:rFonts w:ascii="Arial Narrow" w:hAnsi="Arial Narrow"/>
        </w:rPr>
      </w:pPr>
      <w:bookmarkStart w:id="61" w:name="_Ref227595580"/>
      <w:bookmarkStart w:id="62" w:name="_Toc228286450"/>
      <w:r w:rsidRPr="003B35C8">
        <w:rPr>
          <w:rFonts w:ascii="Arial Narrow" w:hAnsi="Arial Narrow"/>
        </w:rPr>
        <w:t xml:space="preserve">Figure </w:t>
      </w:r>
      <w:r w:rsidRPr="003B35C8">
        <w:rPr>
          <w:rFonts w:ascii="Arial Narrow" w:hAnsi="Arial Narrow"/>
        </w:rPr>
        <w:fldChar w:fldCharType="begin"/>
      </w:r>
      <w:r w:rsidRPr="003B35C8">
        <w:rPr>
          <w:rFonts w:ascii="Arial Narrow" w:hAnsi="Arial Narrow"/>
        </w:rPr>
        <w:instrText xml:space="preserve"> SEQ Figure \* ARABIC </w:instrText>
      </w:r>
      <w:r w:rsidRPr="003B35C8">
        <w:rPr>
          <w:rFonts w:ascii="Arial Narrow" w:hAnsi="Arial Narrow"/>
        </w:rPr>
        <w:fldChar w:fldCharType="separate"/>
      </w:r>
      <w:r w:rsidR="002614BE">
        <w:rPr>
          <w:rFonts w:ascii="Arial Narrow" w:hAnsi="Arial Narrow"/>
          <w:noProof/>
        </w:rPr>
        <w:t>11</w:t>
      </w:r>
      <w:r w:rsidRPr="003B35C8">
        <w:rPr>
          <w:rFonts w:ascii="Arial Narrow" w:hAnsi="Arial Narrow"/>
        </w:rPr>
        <w:fldChar w:fldCharType="end"/>
      </w:r>
      <w:bookmarkEnd w:id="61"/>
      <w:r w:rsidRPr="003B35C8">
        <w:rPr>
          <w:rFonts w:ascii="Arial Narrow" w:hAnsi="Arial Narrow"/>
        </w:rPr>
        <w:t>. Quintile-based Rainfall Index time series for Majuro showing (A) 1-month, (B) 3-month, and (C) 6-month accumulation windows. Bars represent observed precipitation (or rolling sums) color-coded by quintile category. The dashed line shows the baseline median for each calendar month.</w:t>
      </w:r>
      <w:bookmarkEnd w:id="62"/>
    </w:p>
    <w:p w14:paraId="3739E9F7" w14:textId="499AF3F7" w:rsidR="00A7355D" w:rsidRPr="00E36C67" w:rsidRDefault="00A7355D" w:rsidP="00E36C67">
      <w:pPr>
        <w:spacing w:before="240" w:after="0"/>
        <w:rPr>
          <w:rFonts w:ascii="Arial" w:hAnsi="Arial" w:cs="Arial"/>
          <w:i/>
          <w:iCs/>
          <w:sz w:val="22"/>
          <w:szCs w:val="22"/>
        </w:rPr>
      </w:pPr>
      <w:r w:rsidRPr="00E36C67">
        <w:rPr>
          <w:rFonts w:ascii="Arial" w:hAnsi="Arial" w:cs="Arial"/>
          <w:i/>
          <w:iCs/>
          <w:sz w:val="22"/>
          <w:szCs w:val="22"/>
        </w:rPr>
        <w:lastRenderedPageBreak/>
        <w:t>Notable Drought Episodes</w:t>
      </w:r>
    </w:p>
    <w:p w14:paraId="029EA4E6" w14:textId="77777777" w:rsidR="008912AE" w:rsidRDefault="00A7355D" w:rsidP="00BF078F">
      <w:pPr>
        <w:rPr>
          <w:rFonts w:eastAsia="Times New Roman" w:cs="Times New Roman"/>
        </w:rPr>
      </w:pPr>
      <w:r>
        <w:rPr>
          <w:rFonts w:eastAsia="Times New Roman" w:cs="Times New Roman"/>
        </w:rPr>
        <w:t>The most severe drought at Majuro in the 25-year record occurred from October 2015 through April 2016, when 7 consecutive months were classified as Drier or Dry at the 1-month timescale, with 4 of those months in the Drier category. At the 3-month window, 6 of 7 months were classified as Drier, and at the 6-month window, 3 months reached the Drier category. The PEAC index classified 4 months as Red, with monthly precipitation falling as low as 12.3 millimeters in March 2016 and 16.7 millimeters in April 2016. This event corresponds to the same strong El Niño–driven regional drought that produced severe conditions across the Federated States of Micronesia and other Pacific Island nations during this period.</w:t>
      </w:r>
    </w:p>
    <w:p w14:paraId="0732FE87" w14:textId="77777777" w:rsidR="008912AE" w:rsidRDefault="00A7355D" w:rsidP="00BF078F">
      <w:pPr>
        <w:ind w:firstLine="720"/>
      </w:pPr>
      <w:r>
        <w:rPr>
          <w:rFonts w:eastAsia="Times New Roman" w:cs="Times New Roman"/>
        </w:rPr>
        <w:t>A second significant episode occurred from May through August 2009, when 4 consecutive months were classified as Drier or Dry. The 6-month Rainfall Index was classified as Drier for all 4 months during this period, indicating a sustained cumulative deficit. Monthly precipitation reached a minimum of 65.3 millimeters (June 2009, PEAC-Red). Earlier events include January through March 2007 (3 months, 2 Drier, 2 PEAC-Red, minimum 33.3 millimeters) and February through April 2008 (3 months, 2 Drier, 3 PEAC-Red, minimum 56.7 millimeters), both of which coincided with dry-season months when baseline precipitation is already low.</w:t>
      </w:r>
    </w:p>
    <w:p w14:paraId="1BA5AD01" w14:textId="1DB2F39C" w:rsidR="00A7355D" w:rsidRDefault="00A7355D" w:rsidP="00BF078F">
      <w:pPr>
        <w:ind w:firstLine="720"/>
      </w:pPr>
      <w:r>
        <w:rPr>
          <w:rFonts w:eastAsia="Times New Roman" w:cs="Times New Roman"/>
        </w:rPr>
        <w:t xml:space="preserve">More recently, March through May 2025 showed 3 consecutive months of Drier/Dry conditions at the 1-month window, with all 3 months classified as Drier at both the 3-month and 6-month windows. The PEAC index classified 2 months as Red, with a minimum monthly precipitation of 62.3 millimeters. This episode warrants continued monitoring as it may indicate the onset of a more prolonged deficit. </w:t>
      </w:r>
      <w:r w:rsidR="009409F1" w:rsidRPr="009409F1">
        <w:rPr>
          <w:rFonts w:eastAsia="Times New Roman" w:cs="Times New Roman"/>
        </w:rPr>
        <w:fldChar w:fldCharType="begin"/>
      </w:r>
      <w:r w:rsidR="009409F1" w:rsidRPr="009409F1">
        <w:rPr>
          <w:rFonts w:eastAsia="Times New Roman" w:cs="Times New Roman"/>
        </w:rPr>
        <w:instrText xml:space="preserve"> REF _Ref227595746 \h </w:instrText>
      </w:r>
      <w:r w:rsidR="009409F1">
        <w:rPr>
          <w:rFonts w:eastAsia="Times New Roman" w:cs="Times New Roman"/>
        </w:rPr>
        <w:instrText xml:space="preserve"> \* MERGEFORMAT </w:instrText>
      </w:r>
      <w:r w:rsidR="009409F1" w:rsidRPr="009409F1">
        <w:rPr>
          <w:rFonts w:eastAsia="Times New Roman" w:cs="Times New Roman"/>
        </w:rPr>
      </w:r>
      <w:r w:rsidR="009409F1" w:rsidRPr="009409F1">
        <w:rPr>
          <w:rFonts w:eastAsia="Times New Roman" w:cs="Times New Roman"/>
        </w:rPr>
        <w:fldChar w:fldCharType="separate"/>
      </w:r>
      <w:r w:rsidR="009409F1" w:rsidRPr="009409F1">
        <w:rPr>
          <w:rFonts w:cs="Times New Roman"/>
        </w:rPr>
        <w:t xml:space="preserve">Table </w:t>
      </w:r>
      <w:r w:rsidR="009409F1" w:rsidRPr="009409F1">
        <w:rPr>
          <w:rFonts w:cs="Times New Roman"/>
          <w:noProof/>
        </w:rPr>
        <w:t>2</w:t>
      </w:r>
      <w:r w:rsidR="009409F1" w:rsidRPr="009409F1">
        <w:rPr>
          <w:rFonts w:eastAsia="Times New Roman" w:cs="Times New Roman"/>
        </w:rPr>
        <w:fldChar w:fldCharType="end"/>
      </w:r>
      <w:r w:rsidR="009409F1" w:rsidRPr="009409F1">
        <w:rPr>
          <w:rFonts w:eastAsia="Times New Roman" w:cs="Times New Roman"/>
        </w:rPr>
        <w:t xml:space="preserve"> </w:t>
      </w:r>
      <w:r w:rsidRPr="009409F1">
        <w:rPr>
          <w:rFonts w:eastAsia="Times New Roman" w:cs="Times New Roman"/>
        </w:rPr>
        <w:t>summarizes</w:t>
      </w:r>
      <w:r>
        <w:rPr>
          <w:rFonts w:eastAsia="Times New Roman" w:cs="Times New Roman"/>
        </w:rPr>
        <w:t xml:space="preserve"> the notable drought episodes.</w:t>
      </w:r>
    </w:p>
    <w:p w14:paraId="3BB4A090" w14:textId="19042AD1" w:rsidR="00D24080" w:rsidRPr="00D24080" w:rsidRDefault="00D24080" w:rsidP="00D24080">
      <w:pPr>
        <w:pStyle w:val="Caption"/>
        <w:keepNext/>
        <w:rPr>
          <w:rFonts w:ascii="Arial Narrow" w:hAnsi="Arial Narrow"/>
          <w:szCs w:val="24"/>
        </w:rPr>
      </w:pPr>
      <w:bookmarkStart w:id="63" w:name="_Ref227595746"/>
      <w:bookmarkStart w:id="64" w:name="_Toc228286454"/>
      <w:r w:rsidRPr="00D24080">
        <w:rPr>
          <w:rFonts w:ascii="Arial Narrow" w:hAnsi="Arial Narrow"/>
          <w:szCs w:val="24"/>
        </w:rPr>
        <w:lastRenderedPageBreak/>
        <w:t xml:space="preserve">Table </w:t>
      </w:r>
      <w:r w:rsidRPr="00D24080">
        <w:rPr>
          <w:rFonts w:ascii="Arial Narrow" w:hAnsi="Arial Narrow"/>
          <w:szCs w:val="24"/>
        </w:rPr>
        <w:fldChar w:fldCharType="begin"/>
      </w:r>
      <w:r w:rsidRPr="00D24080">
        <w:rPr>
          <w:rFonts w:ascii="Arial Narrow" w:hAnsi="Arial Narrow"/>
          <w:szCs w:val="24"/>
        </w:rPr>
        <w:instrText xml:space="preserve"> SEQ Table \* ARABIC </w:instrText>
      </w:r>
      <w:r w:rsidRPr="00D24080">
        <w:rPr>
          <w:rFonts w:ascii="Arial Narrow" w:hAnsi="Arial Narrow"/>
          <w:szCs w:val="24"/>
        </w:rPr>
        <w:fldChar w:fldCharType="separate"/>
      </w:r>
      <w:r w:rsidR="00C316AC">
        <w:rPr>
          <w:rFonts w:ascii="Arial Narrow" w:hAnsi="Arial Narrow"/>
          <w:noProof/>
          <w:szCs w:val="24"/>
        </w:rPr>
        <w:t>2</w:t>
      </w:r>
      <w:r w:rsidRPr="00D24080">
        <w:rPr>
          <w:rFonts w:ascii="Arial Narrow" w:hAnsi="Arial Narrow"/>
          <w:szCs w:val="24"/>
        </w:rPr>
        <w:fldChar w:fldCharType="end"/>
      </w:r>
      <w:bookmarkEnd w:id="63"/>
      <w:r w:rsidRPr="00D24080">
        <w:rPr>
          <w:rFonts w:ascii="Arial Narrow" w:hAnsi="Arial Narrow"/>
          <w:szCs w:val="24"/>
        </w:rPr>
        <w:t>. Summary of notable drought episodes at Majuro, defined as three or more consecutive months classified as Drier or Dry at the 1-month Rainfall Index.</w:t>
      </w:r>
      <w:bookmarkEnd w:id="64"/>
    </w:p>
    <w:tbl>
      <w:tblPr>
        <w:tblStyle w:val="TableGrid"/>
        <w:tblW w:w="9360" w:type="dxa"/>
        <w:tblLook w:val="0000" w:firstRow="0" w:lastRow="0" w:firstColumn="0" w:lastColumn="0" w:noHBand="0" w:noVBand="0"/>
      </w:tblPr>
      <w:tblGrid>
        <w:gridCol w:w="2155"/>
        <w:gridCol w:w="1645"/>
        <w:gridCol w:w="1685"/>
        <w:gridCol w:w="1915"/>
        <w:gridCol w:w="1960"/>
      </w:tblGrid>
      <w:tr w:rsidR="00D24080" w:rsidRPr="00D24080" w14:paraId="10384660" w14:textId="77777777" w:rsidTr="00D24080">
        <w:tc>
          <w:tcPr>
            <w:tcW w:w="2155" w:type="dxa"/>
          </w:tcPr>
          <w:p w14:paraId="3DEAB80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b/>
                <w:bCs/>
              </w:rPr>
              <w:t>Episode</w:t>
            </w:r>
          </w:p>
        </w:tc>
        <w:tc>
          <w:tcPr>
            <w:tcW w:w="1645" w:type="dxa"/>
          </w:tcPr>
          <w:p w14:paraId="70A20ADA"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b/>
                <w:bCs/>
              </w:rPr>
              <w:t>Duration (months)</w:t>
            </w:r>
          </w:p>
        </w:tc>
        <w:tc>
          <w:tcPr>
            <w:tcW w:w="1685" w:type="dxa"/>
          </w:tcPr>
          <w:p w14:paraId="13873D24"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b/>
                <w:bCs/>
              </w:rPr>
              <w:t>Drier Months (1-mo)</w:t>
            </w:r>
          </w:p>
        </w:tc>
        <w:tc>
          <w:tcPr>
            <w:tcW w:w="1915" w:type="dxa"/>
          </w:tcPr>
          <w:p w14:paraId="46414FF1"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b/>
                <w:bCs/>
              </w:rPr>
              <w:t>PEAC-Red Months</w:t>
            </w:r>
          </w:p>
        </w:tc>
        <w:tc>
          <w:tcPr>
            <w:tcW w:w="1960" w:type="dxa"/>
          </w:tcPr>
          <w:p w14:paraId="52A49D6D"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b/>
                <w:bCs/>
              </w:rPr>
              <w:t>Min Precip. (mm)</w:t>
            </w:r>
          </w:p>
        </w:tc>
      </w:tr>
      <w:tr w:rsidR="00D24080" w:rsidRPr="00D24080" w14:paraId="4AFBFBB1" w14:textId="77777777" w:rsidTr="00D24080">
        <w:tc>
          <w:tcPr>
            <w:tcW w:w="2155" w:type="dxa"/>
          </w:tcPr>
          <w:p w14:paraId="59F09A4E"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Oct 2015 – Apr 2016</w:t>
            </w:r>
          </w:p>
        </w:tc>
        <w:tc>
          <w:tcPr>
            <w:tcW w:w="1645" w:type="dxa"/>
          </w:tcPr>
          <w:p w14:paraId="7E5C7C79"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7</w:t>
            </w:r>
          </w:p>
        </w:tc>
        <w:tc>
          <w:tcPr>
            <w:tcW w:w="1685" w:type="dxa"/>
          </w:tcPr>
          <w:p w14:paraId="3D201B81"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4</w:t>
            </w:r>
          </w:p>
        </w:tc>
        <w:tc>
          <w:tcPr>
            <w:tcW w:w="1915" w:type="dxa"/>
          </w:tcPr>
          <w:p w14:paraId="13CBECEC"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4</w:t>
            </w:r>
          </w:p>
        </w:tc>
        <w:tc>
          <w:tcPr>
            <w:tcW w:w="1960" w:type="dxa"/>
          </w:tcPr>
          <w:p w14:paraId="114CD109"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12.3</w:t>
            </w:r>
          </w:p>
        </w:tc>
      </w:tr>
      <w:tr w:rsidR="00D24080" w:rsidRPr="00D24080" w14:paraId="2F67EC21" w14:textId="77777777" w:rsidTr="00D24080">
        <w:tc>
          <w:tcPr>
            <w:tcW w:w="2155" w:type="dxa"/>
          </w:tcPr>
          <w:p w14:paraId="3FF3A2B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May 2009 – Aug 2009</w:t>
            </w:r>
          </w:p>
        </w:tc>
        <w:tc>
          <w:tcPr>
            <w:tcW w:w="1645" w:type="dxa"/>
          </w:tcPr>
          <w:p w14:paraId="00B56800"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4</w:t>
            </w:r>
          </w:p>
        </w:tc>
        <w:tc>
          <w:tcPr>
            <w:tcW w:w="1685" w:type="dxa"/>
          </w:tcPr>
          <w:p w14:paraId="4A63799A"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15" w:type="dxa"/>
          </w:tcPr>
          <w:p w14:paraId="653CEC39"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w:t>
            </w:r>
          </w:p>
        </w:tc>
        <w:tc>
          <w:tcPr>
            <w:tcW w:w="1960" w:type="dxa"/>
          </w:tcPr>
          <w:p w14:paraId="6D3F45DC"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65.3</w:t>
            </w:r>
          </w:p>
        </w:tc>
      </w:tr>
      <w:tr w:rsidR="00D24080" w:rsidRPr="00D24080" w14:paraId="01A7709A" w14:textId="77777777" w:rsidTr="00D24080">
        <w:tc>
          <w:tcPr>
            <w:tcW w:w="2155" w:type="dxa"/>
          </w:tcPr>
          <w:p w14:paraId="40DA7459"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Mar 2006 – Jun 2006</w:t>
            </w:r>
          </w:p>
        </w:tc>
        <w:tc>
          <w:tcPr>
            <w:tcW w:w="1645" w:type="dxa"/>
          </w:tcPr>
          <w:p w14:paraId="17AE4351"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4</w:t>
            </w:r>
          </w:p>
        </w:tc>
        <w:tc>
          <w:tcPr>
            <w:tcW w:w="1685" w:type="dxa"/>
          </w:tcPr>
          <w:p w14:paraId="13592AC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w:t>
            </w:r>
          </w:p>
        </w:tc>
        <w:tc>
          <w:tcPr>
            <w:tcW w:w="1915" w:type="dxa"/>
          </w:tcPr>
          <w:p w14:paraId="5ECA0E05"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0</w:t>
            </w:r>
          </w:p>
        </w:tc>
        <w:tc>
          <w:tcPr>
            <w:tcW w:w="1960" w:type="dxa"/>
          </w:tcPr>
          <w:p w14:paraId="0888C2D7"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121.3</w:t>
            </w:r>
          </w:p>
        </w:tc>
      </w:tr>
      <w:tr w:rsidR="00D24080" w:rsidRPr="00D24080" w14:paraId="786DA692" w14:textId="77777777" w:rsidTr="00D24080">
        <w:tc>
          <w:tcPr>
            <w:tcW w:w="2155" w:type="dxa"/>
          </w:tcPr>
          <w:p w14:paraId="0F9763CB"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Jul 2023 – Oct 2023</w:t>
            </w:r>
          </w:p>
        </w:tc>
        <w:tc>
          <w:tcPr>
            <w:tcW w:w="1645" w:type="dxa"/>
          </w:tcPr>
          <w:p w14:paraId="3DDC1DCB"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4</w:t>
            </w:r>
          </w:p>
        </w:tc>
        <w:tc>
          <w:tcPr>
            <w:tcW w:w="1685" w:type="dxa"/>
          </w:tcPr>
          <w:p w14:paraId="406FB8D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15" w:type="dxa"/>
          </w:tcPr>
          <w:p w14:paraId="191217C6"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0</w:t>
            </w:r>
          </w:p>
        </w:tc>
        <w:tc>
          <w:tcPr>
            <w:tcW w:w="1960" w:type="dxa"/>
          </w:tcPr>
          <w:p w14:paraId="6626C558"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164.7</w:t>
            </w:r>
          </w:p>
        </w:tc>
      </w:tr>
      <w:tr w:rsidR="00D24080" w:rsidRPr="00D24080" w14:paraId="3CC1D9DC" w14:textId="77777777" w:rsidTr="00D24080">
        <w:tc>
          <w:tcPr>
            <w:tcW w:w="2155" w:type="dxa"/>
          </w:tcPr>
          <w:p w14:paraId="219C149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Jul 2013 – Oct 2013</w:t>
            </w:r>
          </w:p>
        </w:tc>
        <w:tc>
          <w:tcPr>
            <w:tcW w:w="1645" w:type="dxa"/>
          </w:tcPr>
          <w:p w14:paraId="7BCDDD4F"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4</w:t>
            </w:r>
          </w:p>
        </w:tc>
        <w:tc>
          <w:tcPr>
            <w:tcW w:w="1685" w:type="dxa"/>
          </w:tcPr>
          <w:p w14:paraId="23B0095A"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15" w:type="dxa"/>
          </w:tcPr>
          <w:p w14:paraId="336379AB"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0</w:t>
            </w:r>
          </w:p>
        </w:tc>
        <w:tc>
          <w:tcPr>
            <w:tcW w:w="1960" w:type="dxa"/>
          </w:tcPr>
          <w:p w14:paraId="0A3F62E6"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203.3</w:t>
            </w:r>
          </w:p>
        </w:tc>
      </w:tr>
      <w:tr w:rsidR="00D24080" w:rsidRPr="00D24080" w14:paraId="77453976" w14:textId="77777777" w:rsidTr="00D24080">
        <w:tc>
          <w:tcPr>
            <w:tcW w:w="2155" w:type="dxa"/>
          </w:tcPr>
          <w:p w14:paraId="73CFB19F"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Jan 2007 – Mar 2007</w:t>
            </w:r>
          </w:p>
        </w:tc>
        <w:tc>
          <w:tcPr>
            <w:tcW w:w="1645" w:type="dxa"/>
          </w:tcPr>
          <w:p w14:paraId="01DE25C3"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685" w:type="dxa"/>
          </w:tcPr>
          <w:p w14:paraId="425B6D33"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15" w:type="dxa"/>
          </w:tcPr>
          <w:p w14:paraId="487922AF"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60" w:type="dxa"/>
          </w:tcPr>
          <w:p w14:paraId="6A34664B"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33.3</w:t>
            </w:r>
          </w:p>
        </w:tc>
      </w:tr>
      <w:tr w:rsidR="00D24080" w:rsidRPr="00D24080" w14:paraId="1F716026" w14:textId="77777777" w:rsidTr="00D24080">
        <w:tc>
          <w:tcPr>
            <w:tcW w:w="2155" w:type="dxa"/>
          </w:tcPr>
          <w:p w14:paraId="35BA6B7D"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Feb 2008 – Apr 2008</w:t>
            </w:r>
          </w:p>
        </w:tc>
        <w:tc>
          <w:tcPr>
            <w:tcW w:w="1645" w:type="dxa"/>
          </w:tcPr>
          <w:p w14:paraId="4BBA6B8F"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685" w:type="dxa"/>
          </w:tcPr>
          <w:p w14:paraId="49BD1BEC"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15" w:type="dxa"/>
          </w:tcPr>
          <w:p w14:paraId="76E517CE"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960" w:type="dxa"/>
          </w:tcPr>
          <w:p w14:paraId="4DCF2954"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56.7</w:t>
            </w:r>
          </w:p>
        </w:tc>
      </w:tr>
      <w:tr w:rsidR="00D24080" w:rsidRPr="00D24080" w14:paraId="6B34443E" w14:textId="77777777" w:rsidTr="00D24080">
        <w:tc>
          <w:tcPr>
            <w:tcW w:w="2155" w:type="dxa"/>
          </w:tcPr>
          <w:p w14:paraId="5B82431B"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Apr 2005 – Jun 2005</w:t>
            </w:r>
          </w:p>
        </w:tc>
        <w:tc>
          <w:tcPr>
            <w:tcW w:w="1645" w:type="dxa"/>
          </w:tcPr>
          <w:p w14:paraId="2F555094"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685" w:type="dxa"/>
          </w:tcPr>
          <w:p w14:paraId="77011B93"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915" w:type="dxa"/>
          </w:tcPr>
          <w:p w14:paraId="008BC021"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0</w:t>
            </w:r>
          </w:p>
        </w:tc>
        <w:tc>
          <w:tcPr>
            <w:tcW w:w="1960" w:type="dxa"/>
          </w:tcPr>
          <w:p w14:paraId="0C5670DB"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103.0</w:t>
            </w:r>
          </w:p>
        </w:tc>
      </w:tr>
      <w:tr w:rsidR="00D24080" w:rsidRPr="00D24080" w14:paraId="556746AC" w14:textId="77777777" w:rsidTr="00D24080">
        <w:tc>
          <w:tcPr>
            <w:tcW w:w="2155" w:type="dxa"/>
          </w:tcPr>
          <w:p w14:paraId="4F2AFD30"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Feb 2019 – Apr 2019</w:t>
            </w:r>
          </w:p>
        </w:tc>
        <w:tc>
          <w:tcPr>
            <w:tcW w:w="1645" w:type="dxa"/>
          </w:tcPr>
          <w:p w14:paraId="3F400A0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685" w:type="dxa"/>
          </w:tcPr>
          <w:p w14:paraId="16CCB3F7"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15" w:type="dxa"/>
          </w:tcPr>
          <w:p w14:paraId="4620B7EA"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60" w:type="dxa"/>
          </w:tcPr>
          <w:p w14:paraId="703C53C9"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56.7</w:t>
            </w:r>
          </w:p>
        </w:tc>
      </w:tr>
      <w:tr w:rsidR="00D24080" w:rsidRPr="00D24080" w14:paraId="7E76F7A4" w14:textId="77777777" w:rsidTr="00D24080">
        <w:tc>
          <w:tcPr>
            <w:tcW w:w="2155" w:type="dxa"/>
          </w:tcPr>
          <w:p w14:paraId="760F09AD"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Mar 2025 – May 2025</w:t>
            </w:r>
          </w:p>
        </w:tc>
        <w:tc>
          <w:tcPr>
            <w:tcW w:w="1645" w:type="dxa"/>
          </w:tcPr>
          <w:p w14:paraId="39F31FD8"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3</w:t>
            </w:r>
          </w:p>
        </w:tc>
        <w:tc>
          <w:tcPr>
            <w:tcW w:w="1685" w:type="dxa"/>
          </w:tcPr>
          <w:p w14:paraId="3F196DD2"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1</w:t>
            </w:r>
          </w:p>
        </w:tc>
        <w:tc>
          <w:tcPr>
            <w:tcW w:w="1915" w:type="dxa"/>
          </w:tcPr>
          <w:p w14:paraId="4D96EEA6"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2</w:t>
            </w:r>
          </w:p>
        </w:tc>
        <w:tc>
          <w:tcPr>
            <w:tcW w:w="1960" w:type="dxa"/>
          </w:tcPr>
          <w:p w14:paraId="324E3C95" w14:textId="77777777" w:rsidR="00A7355D" w:rsidRPr="00D24080" w:rsidRDefault="00A7355D" w:rsidP="00D24080">
            <w:pPr>
              <w:spacing w:line="480" w:lineRule="auto"/>
              <w:rPr>
                <w:rFonts w:ascii="Arial Narrow" w:hAnsi="Arial Narrow"/>
              </w:rPr>
            </w:pPr>
            <w:r w:rsidRPr="00D24080">
              <w:rPr>
                <w:rFonts w:ascii="Arial Narrow" w:eastAsia="Times New Roman" w:hAnsi="Arial Narrow" w:cs="Times New Roman"/>
              </w:rPr>
              <w:t>62.3</w:t>
            </w:r>
          </w:p>
        </w:tc>
      </w:tr>
    </w:tbl>
    <w:p w14:paraId="754C160E" w14:textId="20D92B48" w:rsidR="00A7355D" w:rsidRDefault="00A7355D" w:rsidP="00A541CF"/>
    <w:p w14:paraId="02F70708" w14:textId="686B9C44" w:rsidR="00A7355D" w:rsidRDefault="00A7355D" w:rsidP="00A541CF">
      <w:pPr>
        <w:ind w:firstLine="720"/>
      </w:pPr>
      <w:r>
        <w:rPr>
          <w:rFonts w:eastAsia="Times New Roman" w:cs="Times New Roman"/>
        </w:rPr>
        <w:t xml:space="preserve">The PEAC 4/8-inch index provides an operationally critical perspective for Majuro that complements the quintile-based Rainfall Index. Across the 314-month record, 36 months (11 percent) were classified as Red, 74 (24 percent) as Yellow, and 204 (65 percent) as Dark Green </w:t>
      </w:r>
      <w:r w:rsidRPr="00E673F6">
        <w:rPr>
          <w:rFonts w:eastAsia="Times New Roman" w:cs="Times New Roman"/>
        </w:rPr>
        <w:t>(</w:t>
      </w:r>
      <w:r w:rsidR="00E673F6" w:rsidRPr="00E673F6">
        <w:rPr>
          <w:rFonts w:eastAsia="Times New Roman" w:cs="Times New Roman"/>
        </w:rPr>
        <w:fldChar w:fldCharType="begin"/>
      </w:r>
      <w:r w:rsidR="00E673F6" w:rsidRPr="00E673F6">
        <w:rPr>
          <w:rFonts w:eastAsia="Times New Roman" w:cs="Times New Roman"/>
        </w:rPr>
        <w:instrText xml:space="preserve"> REF _Ref227596081 \h </w:instrText>
      </w:r>
      <w:r w:rsidR="00E673F6">
        <w:rPr>
          <w:rFonts w:eastAsia="Times New Roman" w:cs="Times New Roman"/>
        </w:rPr>
        <w:instrText xml:space="preserve"> \* MERGEFORMAT </w:instrText>
      </w:r>
      <w:r w:rsidR="00E673F6" w:rsidRPr="00E673F6">
        <w:rPr>
          <w:rFonts w:eastAsia="Times New Roman" w:cs="Times New Roman"/>
        </w:rPr>
      </w:r>
      <w:r w:rsidR="00E673F6" w:rsidRPr="00E673F6">
        <w:rPr>
          <w:rFonts w:eastAsia="Times New Roman" w:cs="Times New Roman"/>
        </w:rPr>
        <w:fldChar w:fldCharType="separate"/>
      </w:r>
      <w:r w:rsidR="00E673F6" w:rsidRPr="00E673F6">
        <w:rPr>
          <w:rFonts w:cs="Times New Roman"/>
        </w:rPr>
        <w:t xml:space="preserve">Table </w:t>
      </w:r>
      <w:r w:rsidR="00E673F6" w:rsidRPr="00E673F6">
        <w:rPr>
          <w:rFonts w:cs="Times New Roman"/>
          <w:noProof/>
        </w:rPr>
        <w:t>3</w:t>
      </w:r>
      <w:r w:rsidR="00E673F6" w:rsidRPr="00E673F6">
        <w:rPr>
          <w:rFonts w:eastAsia="Times New Roman" w:cs="Times New Roman"/>
        </w:rPr>
        <w:fldChar w:fldCharType="end"/>
      </w:r>
      <w:r w:rsidRPr="00E673F6">
        <w:rPr>
          <w:rFonts w:eastAsia="Times New Roman" w:cs="Times New Roman"/>
        </w:rPr>
        <w:t>).</w:t>
      </w:r>
      <w:r>
        <w:rPr>
          <w:rFonts w:eastAsia="Times New Roman" w:cs="Times New Roman"/>
        </w:rPr>
        <w:t xml:space="preserve"> This means that in more than one out of every three months, Majuro received less than 8 inches of rainfall, a threshold below which municipal and household catchment systems may not be fully replenished.</w:t>
      </w:r>
    </w:p>
    <w:p w14:paraId="59D57FC4" w14:textId="77777777" w:rsidR="00A7355D" w:rsidRDefault="00A7355D" w:rsidP="00A541CF">
      <w:pPr>
        <w:ind w:firstLine="720"/>
      </w:pPr>
      <w:r>
        <w:rPr>
          <w:rFonts w:eastAsia="Times New Roman" w:cs="Times New Roman"/>
        </w:rPr>
        <w:t xml:space="preserve">The PEAC-Red months are concentrated during the dry season (January through April), when baseline precipitation is already near the 4-inch threshold. However, PEAC-Red conditions </w:t>
      </w:r>
      <w:r>
        <w:rPr>
          <w:rFonts w:eastAsia="Times New Roman" w:cs="Times New Roman"/>
        </w:rPr>
        <w:lastRenderedPageBreak/>
        <w:t>also occurred during months that the Rainfall Index classified as Dry rather than Drier, illustrating the complementary value of the two indices. For example, February 2008 received 90.7 millimeters (PEAC-Red) but was classified as only Dry by the quintile-based index, because the baseline 20th percentile for February at Majuro is below 90 millimeters. In such cases, the PEAC index captures an absolute water supply risk that the relative Rainfall Index does not flag at its most severe category.</w:t>
      </w:r>
    </w:p>
    <w:p w14:paraId="61C33BE4" w14:textId="5B6ECFBA" w:rsidR="009A484C" w:rsidRPr="009A484C" w:rsidRDefault="009A484C" w:rsidP="009A484C">
      <w:pPr>
        <w:pStyle w:val="Caption"/>
        <w:keepNext/>
        <w:rPr>
          <w:rFonts w:ascii="Arial Narrow" w:hAnsi="Arial Narrow"/>
          <w:szCs w:val="24"/>
        </w:rPr>
      </w:pPr>
      <w:bookmarkStart w:id="65" w:name="_Ref227596081"/>
      <w:bookmarkStart w:id="66" w:name="_Toc228286455"/>
      <w:r w:rsidRPr="009A484C">
        <w:rPr>
          <w:rFonts w:ascii="Arial Narrow" w:hAnsi="Arial Narrow"/>
          <w:szCs w:val="24"/>
        </w:rPr>
        <w:t xml:space="preserve">Table </w:t>
      </w:r>
      <w:r w:rsidRPr="009A484C">
        <w:rPr>
          <w:rFonts w:ascii="Arial Narrow" w:hAnsi="Arial Narrow"/>
          <w:szCs w:val="24"/>
        </w:rPr>
        <w:fldChar w:fldCharType="begin"/>
      </w:r>
      <w:r w:rsidRPr="009A484C">
        <w:rPr>
          <w:rFonts w:ascii="Arial Narrow" w:hAnsi="Arial Narrow"/>
          <w:szCs w:val="24"/>
        </w:rPr>
        <w:instrText xml:space="preserve"> SEQ Table \* ARABIC </w:instrText>
      </w:r>
      <w:r w:rsidRPr="009A484C">
        <w:rPr>
          <w:rFonts w:ascii="Arial Narrow" w:hAnsi="Arial Narrow"/>
          <w:szCs w:val="24"/>
        </w:rPr>
        <w:fldChar w:fldCharType="separate"/>
      </w:r>
      <w:r w:rsidR="00C316AC">
        <w:rPr>
          <w:rFonts w:ascii="Arial Narrow" w:hAnsi="Arial Narrow"/>
          <w:noProof/>
          <w:szCs w:val="24"/>
        </w:rPr>
        <w:t>3</w:t>
      </w:r>
      <w:r w:rsidRPr="009A484C">
        <w:rPr>
          <w:rFonts w:ascii="Arial Narrow" w:hAnsi="Arial Narrow"/>
          <w:szCs w:val="24"/>
        </w:rPr>
        <w:fldChar w:fldCharType="end"/>
      </w:r>
      <w:bookmarkEnd w:id="65"/>
      <w:r w:rsidRPr="009A484C">
        <w:rPr>
          <w:rFonts w:ascii="Arial Narrow" w:hAnsi="Arial Narrow"/>
          <w:szCs w:val="24"/>
        </w:rPr>
        <w:t>. PEAC 4/8-inch index frequency at Majuro, January 2000 through February 2026.</w:t>
      </w:r>
      <w:bookmarkEnd w:id="66"/>
    </w:p>
    <w:tbl>
      <w:tblPr>
        <w:tblStyle w:val="TableGrid"/>
        <w:tblW w:w="9360" w:type="dxa"/>
        <w:tblLook w:val="0000" w:firstRow="0" w:lastRow="0" w:firstColumn="0" w:lastColumn="0" w:noHBand="0" w:noVBand="0"/>
      </w:tblPr>
      <w:tblGrid>
        <w:gridCol w:w="1800"/>
        <w:gridCol w:w="2800"/>
        <w:gridCol w:w="2200"/>
        <w:gridCol w:w="2560"/>
      </w:tblGrid>
      <w:tr w:rsidR="000B7453" w:rsidRPr="000B7453" w14:paraId="7B0C4104" w14:textId="77777777" w:rsidTr="009A484C">
        <w:tc>
          <w:tcPr>
            <w:tcW w:w="1800" w:type="dxa"/>
          </w:tcPr>
          <w:p w14:paraId="6E937571"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PEAC Category</w:t>
            </w:r>
          </w:p>
        </w:tc>
        <w:tc>
          <w:tcPr>
            <w:tcW w:w="2800" w:type="dxa"/>
          </w:tcPr>
          <w:p w14:paraId="2A0D6ED5"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Threshold</w:t>
            </w:r>
          </w:p>
        </w:tc>
        <w:tc>
          <w:tcPr>
            <w:tcW w:w="2200" w:type="dxa"/>
          </w:tcPr>
          <w:p w14:paraId="6061A1BE"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Number of Months</w:t>
            </w:r>
          </w:p>
        </w:tc>
        <w:tc>
          <w:tcPr>
            <w:tcW w:w="2560" w:type="dxa"/>
          </w:tcPr>
          <w:p w14:paraId="1C86D0FD"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Percentage</w:t>
            </w:r>
          </w:p>
        </w:tc>
      </w:tr>
      <w:tr w:rsidR="000B7453" w:rsidRPr="000B7453" w14:paraId="4DE92725" w14:textId="77777777" w:rsidTr="009A484C">
        <w:tc>
          <w:tcPr>
            <w:tcW w:w="1800" w:type="dxa"/>
          </w:tcPr>
          <w:p w14:paraId="20271EC1"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Red</w:t>
            </w:r>
          </w:p>
        </w:tc>
        <w:tc>
          <w:tcPr>
            <w:tcW w:w="2800" w:type="dxa"/>
          </w:tcPr>
          <w:p w14:paraId="17D3A5F6"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&lt; 4 inches (101.6 mm)</w:t>
            </w:r>
          </w:p>
        </w:tc>
        <w:tc>
          <w:tcPr>
            <w:tcW w:w="2200" w:type="dxa"/>
          </w:tcPr>
          <w:p w14:paraId="2D928BA9"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36</w:t>
            </w:r>
          </w:p>
        </w:tc>
        <w:tc>
          <w:tcPr>
            <w:tcW w:w="2560" w:type="dxa"/>
          </w:tcPr>
          <w:p w14:paraId="6A049C32"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11%</w:t>
            </w:r>
          </w:p>
        </w:tc>
      </w:tr>
      <w:tr w:rsidR="000B7453" w:rsidRPr="000B7453" w14:paraId="3A0BF90D" w14:textId="77777777" w:rsidTr="009A484C">
        <w:tc>
          <w:tcPr>
            <w:tcW w:w="1800" w:type="dxa"/>
          </w:tcPr>
          <w:p w14:paraId="048F8F63"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Yellow</w:t>
            </w:r>
          </w:p>
        </w:tc>
        <w:tc>
          <w:tcPr>
            <w:tcW w:w="2800" w:type="dxa"/>
          </w:tcPr>
          <w:p w14:paraId="127C6D62"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4–8 inches (101.6–203.2 mm)</w:t>
            </w:r>
          </w:p>
        </w:tc>
        <w:tc>
          <w:tcPr>
            <w:tcW w:w="2200" w:type="dxa"/>
          </w:tcPr>
          <w:p w14:paraId="4A7D06B8"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74</w:t>
            </w:r>
          </w:p>
        </w:tc>
        <w:tc>
          <w:tcPr>
            <w:tcW w:w="2560" w:type="dxa"/>
          </w:tcPr>
          <w:p w14:paraId="39778A93"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24%</w:t>
            </w:r>
          </w:p>
        </w:tc>
      </w:tr>
      <w:tr w:rsidR="000B7453" w:rsidRPr="000B7453" w14:paraId="56F35C04" w14:textId="77777777" w:rsidTr="009A484C">
        <w:tc>
          <w:tcPr>
            <w:tcW w:w="1800" w:type="dxa"/>
          </w:tcPr>
          <w:p w14:paraId="785E44C8"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Dark Green</w:t>
            </w:r>
          </w:p>
        </w:tc>
        <w:tc>
          <w:tcPr>
            <w:tcW w:w="2800" w:type="dxa"/>
          </w:tcPr>
          <w:p w14:paraId="53819D6C"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&gt; 8 inches (203.2 mm)</w:t>
            </w:r>
          </w:p>
        </w:tc>
        <w:tc>
          <w:tcPr>
            <w:tcW w:w="2200" w:type="dxa"/>
          </w:tcPr>
          <w:p w14:paraId="2E812050"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204</w:t>
            </w:r>
          </w:p>
        </w:tc>
        <w:tc>
          <w:tcPr>
            <w:tcW w:w="2560" w:type="dxa"/>
          </w:tcPr>
          <w:p w14:paraId="2AC15C01"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65%</w:t>
            </w:r>
          </w:p>
        </w:tc>
      </w:tr>
    </w:tbl>
    <w:p w14:paraId="511DF47F" w14:textId="6B3FA041" w:rsidR="00A7355D" w:rsidRDefault="00A7355D" w:rsidP="00A7355D">
      <w:pPr>
        <w:spacing w:before="80" w:after="240"/>
      </w:pPr>
    </w:p>
    <w:p w14:paraId="099E2266" w14:textId="22C0D317" w:rsidR="000B7453" w:rsidRPr="000B7453" w:rsidRDefault="000B7453" w:rsidP="000B7453">
      <w:pPr>
        <w:pStyle w:val="Caption"/>
        <w:keepNext/>
        <w:rPr>
          <w:rFonts w:ascii="Arial Narrow" w:hAnsi="Arial Narrow"/>
          <w:szCs w:val="24"/>
        </w:rPr>
      </w:pPr>
      <w:bookmarkStart w:id="67" w:name="_Toc228286456"/>
      <w:r w:rsidRPr="000B7453">
        <w:rPr>
          <w:rFonts w:ascii="Arial Narrow" w:hAnsi="Arial Narrow"/>
          <w:szCs w:val="24"/>
        </w:rPr>
        <w:t xml:space="preserve">Table </w:t>
      </w:r>
      <w:r w:rsidRPr="000B7453">
        <w:rPr>
          <w:rFonts w:ascii="Arial Narrow" w:hAnsi="Arial Narrow"/>
          <w:szCs w:val="24"/>
        </w:rPr>
        <w:fldChar w:fldCharType="begin"/>
      </w:r>
      <w:r w:rsidRPr="000B7453">
        <w:rPr>
          <w:rFonts w:ascii="Arial Narrow" w:hAnsi="Arial Narrow"/>
          <w:szCs w:val="24"/>
        </w:rPr>
        <w:instrText xml:space="preserve"> SEQ Table \* ARABIC </w:instrText>
      </w:r>
      <w:r w:rsidRPr="000B7453">
        <w:rPr>
          <w:rFonts w:ascii="Arial Narrow" w:hAnsi="Arial Narrow"/>
          <w:szCs w:val="24"/>
        </w:rPr>
        <w:fldChar w:fldCharType="separate"/>
      </w:r>
      <w:r w:rsidR="00C316AC">
        <w:rPr>
          <w:rFonts w:ascii="Arial Narrow" w:hAnsi="Arial Narrow"/>
          <w:noProof/>
          <w:szCs w:val="24"/>
        </w:rPr>
        <w:t>4</w:t>
      </w:r>
      <w:r w:rsidRPr="000B7453">
        <w:rPr>
          <w:rFonts w:ascii="Arial Narrow" w:hAnsi="Arial Narrow"/>
          <w:szCs w:val="24"/>
        </w:rPr>
        <w:fldChar w:fldCharType="end"/>
      </w:r>
      <w:r w:rsidRPr="000B7453">
        <w:rPr>
          <w:rFonts w:ascii="Arial Narrow" w:hAnsi="Arial Narrow"/>
          <w:szCs w:val="24"/>
        </w:rPr>
        <w:t>. Quintile-based Rainfall Index category frequency (number of months) by accumulation window at Majuro, January 2000 through February 2026.</w:t>
      </w:r>
      <w:bookmarkEnd w:id="67"/>
    </w:p>
    <w:tbl>
      <w:tblPr>
        <w:tblStyle w:val="TableGrid"/>
        <w:tblW w:w="8760" w:type="dxa"/>
        <w:tblLook w:val="0000" w:firstRow="0" w:lastRow="0" w:firstColumn="0" w:lastColumn="0" w:noHBand="0" w:noVBand="0"/>
      </w:tblPr>
      <w:tblGrid>
        <w:gridCol w:w="1600"/>
        <w:gridCol w:w="1400"/>
        <w:gridCol w:w="1400"/>
        <w:gridCol w:w="1400"/>
        <w:gridCol w:w="1400"/>
        <w:gridCol w:w="1560"/>
      </w:tblGrid>
      <w:tr w:rsidR="000B7453" w:rsidRPr="000B7453" w14:paraId="38ACA094" w14:textId="77777777" w:rsidTr="000B7453">
        <w:tc>
          <w:tcPr>
            <w:tcW w:w="1600" w:type="dxa"/>
          </w:tcPr>
          <w:p w14:paraId="05398D53"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Window</w:t>
            </w:r>
          </w:p>
        </w:tc>
        <w:tc>
          <w:tcPr>
            <w:tcW w:w="1400" w:type="dxa"/>
          </w:tcPr>
          <w:p w14:paraId="0BEF4CD2"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Drier</w:t>
            </w:r>
          </w:p>
        </w:tc>
        <w:tc>
          <w:tcPr>
            <w:tcW w:w="1400" w:type="dxa"/>
          </w:tcPr>
          <w:p w14:paraId="7662D972"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Dry</w:t>
            </w:r>
          </w:p>
        </w:tc>
        <w:tc>
          <w:tcPr>
            <w:tcW w:w="1400" w:type="dxa"/>
          </w:tcPr>
          <w:p w14:paraId="493CDD5B"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Typical</w:t>
            </w:r>
          </w:p>
        </w:tc>
        <w:tc>
          <w:tcPr>
            <w:tcW w:w="1400" w:type="dxa"/>
          </w:tcPr>
          <w:p w14:paraId="3F04B81C"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Wet</w:t>
            </w:r>
          </w:p>
        </w:tc>
        <w:tc>
          <w:tcPr>
            <w:tcW w:w="1560" w:type="dxa"/>
          </w:tcPr>
          <w:p w14:paraId="3317F206"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b/>
                <w:bCs/>
              </w:rPr>
              <w:t>Wetter</w:t>
            </w:r>
          </w:p>
        </w:tc>
      </w:tr>
      <w:tr w:rsidR="000B7453" w:rsidRPr="000B7453" w14:paraId="2CF32EE9" w14:textId="77777777" w:rsidTr="000B7453">
        <w:tc>
          <w:tcPr>
            <w:tcW w:w="1600" w:type="dxa"/>
          </w:tcPr>
          <w:p w14:paraId="519923C8"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1-month</w:t>
            </w:r>
          </w:p>
        </w:tc>
        <w:tc>
          <w:tcPr>
            <w:tcW w:w="1400" w:type="dxa"/>
          </w:tcPr>
          <w:p w14:paraId="7AFE9D93"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64</w:t>
            </w:r>
          </w:p>
        </w:tc>
        <w:tc>
          <w:tcPr>
            <w:tcW w:w="1400" w:type="dxa"/>
          </w:tcPr>
          <w:p w14:paraId="14EFFC27"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63</w:t>
            </w:r>
          </w:p>
        </w:tc>
        <w:tc>
          <w:tcPr>
            <w:tcW w:w="1400" w:type="dxa"/>
          </w:tcPr>
          <w:p w14:paraId="55A91F6F"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63</w:t>
            </w:r>
          </w:p>
        </w:tc>
        <w:tc>
          <w:tcPr>
            <w:tcW w:w="1400" w:type="dxa"/>
          </w:tcPr>
          <w:p w14:paraId="5427D92A"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62</w:t>
            </w:r>
          </w:p>
        </w:tc>
        <w:tc>
          <w:tcPr>
            <w:tcW w:w="1560" w:type="dxa"/>
          </w:tcPr>
          <w:p w14:paraId="17C2F30E"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62</w:t>
            </w:r>
          </w:p>
        </w:tc>
      </w:tr>
      <w:tr w:rsidR="000B7453" w:rsidRPr="000B7453" w14:paraId="6A43C526" w14:textId="77777777" w:rsidTr="000B7453">
        <w:tc>
          <w:tcPr>
            <w:tcW w:w="1600" w:type="dxa"/>
          </w:tcPr>
          <w:p w14:paraId="085B7DC9"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3-month</w:t>
            </w:r>
          </w:p>
        </w:tc>
        <w:tc>
          <w:tcPr>
            <w:tcW w:w="1400" w:type="dxa"/>
          </w:tcPr>
          <w:p w14:paraId="38F53307"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67</w:t>
            </w:r>
          </w:p>
        </w:tc>
        <w:tc>
          <w:tcPr>
            <w:tcW w:w="1400" w:type="dxa"/>
          </w:tcPr>
          <w:p w14:paraId="31B3776C"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61</w:t>
            </w:r>
          </w:p>
        </w:tc>
        <w:tc>
          <w:tcPr>
            <w:tcW w:w="1400" w:type="dxa"/>
          </w:tcPr>
          <w:p w14:paraId="4CF948F1"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60</w:t>
            </w:r>
          </w:p>
        </w:tc>
        <w:tc>
          <w:tcPr>
            <w:tcW w:w="1400" w:type="dxa"/>
          </w:tcPr>
          <w:p w14:paraId="1270362C"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61</w:t>
            </w:r>
          </w:p>
        </w:tc>
        <w:tc>
          <w:tcPr>
            <w:tcW w:w="1560" w:type="dxa"/>
          </w:tcPr>
          <w:p w14:paraId="75DAE9AF"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63</w:t>
            </w:r>
          </w:p>
        </w:tc>
      </w:tr>
      <w:tr w:rsidR="000B7453" w:rsidRPr="000B7453" w14:paraId="79E4992E" w14:textId="77777777" w:rsidTr="000B7453">
        <w:tc>
          <w:tcPr>
            <w:tcW w:w="1600" w:type="dxa"/>
          </w:tcPr>
          <w:p w14:paraId="44EF3645"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6-month</w:t>
            </w:r>
          </w:p>
        </w:tc>
        <w:tc>
          <w:tcPr>
            <w:tcW w:w="1400" w:type="dxa"/>
          </w:tcPr>
          <w:p w14:paraId="2801CB63"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65</w:t>
            </w:r>
          </w:p>
        </w:tc>
        <w:tc>
          <w:tcPr>
            <w:tcW w:w="1400" w:type="dxa"/>
          </w:tcPr>
          <w:p w14:paraId="67E45207"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61</w:t>
            </w:r>
          </w:p>
        </w:tc>
        <w:tc>
          <w:tcPr>
            <w:tcW w:w="1400" w:type="dxa"/>
          </w:tcPr>
          <w:p w14:paraId="3D2BD82B"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59</w:t>
            </w:r>
          </w:p>
        </w:tc>
        <w:tc>
          <w:tcPr>
            <w:tcW w:w="1400" w:type="dxa"/>
          </w:tcPr>
          <w:p w14:paraId="5610CC9A"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63</w:t>
            </w:r>
          </w:p>
        </w:tc>
        <w:tc>
          <w:tcPr>
            <w:tcW w:w="1560" w:type="dxa"/>
          </w:tcPr>
          <w:p w14:paraId="5D8607C3" w14:textId="77777777" w:rsidR="00A7355D" w:rsidRPr="000B7453" w:rsidRDefault="00A7355D" w:rsidP="000B7453">
            <w:pPr>
              <w:spacing w:line="480" w:lineRule="auto"/>
              <w:rPr>
                <w:rFonts w:ascii="Arial Narrow" w:hAnsi="Arial Narrow"/>
              </w:rPr>
            </w:pPr>
            <w:r w:rsidRPr="000B7453">
              <w:rPr>
                <w:rFonts w:ascii="Arial Narrow" w:eastAsia="Times New Roman" w:hAnsi="Arial Narrow" w:cs="Times New Roman"/>
              </w:rPr>
              <w:t>61</w:t>
            </w:r>
          </w:p>
        </w:tc>
      </w:tr>
    </w:tbl>
    <w:p w14:paraId="74FA03AC" w14:textId="77777777" w:rsidR="00A7355D" w:rsidRDefault="00A7355D" w:rsidP="00E4753E"/>
    <w:p w14:paraId="2AF3FD18" w14:textId="77777777" w:rsidR="003873BB" w:rsidRDefault="003873BB" w:rsidP="006E6E0A">
      <w:pPr>
        <w:ind w:firstLine="720"/>
      </w:pPr>
      <w:r>
        <w:rPr>
          <w:rFonts w:eastAsia="Times New Roman" w:cs="Times New Roman"/>
        </w:rPr>
        <w:t xml:space="preserve">The drought monitoring results for Majuro reveal a site where the convergence of low absolute dry-season precipitation, high interannual variability, and near-total dependence on </w:t>
      </w:r>
      <w:r>
        <w:rPr>
          <w:rFonts w:eastAsia="Times New Roman" w:cs="Times New Roman"/>
        </w:rPr>
        <w:lastRenderedPageBreak/>
        <w:t xml:space="preserve">rainwater catchment creates a particularly acute drought vulnerability. Several aspects of the Majuro </w:t>
      </w:r>
      <w:proofErr w:type="gramStart"/>
      <w:r>
        <w:rPr>
          <w:rFonts w:eastAsia="Times New Roman" w:cs="Times New Roman"/>
        </w:rPr>
        <w:t>results</w:t>
      </w:r>
      <w:proofErr w:type="gramEnd"/>
      <w:r>
        <w:rPr>
          <w:rFonts w:eastAsia="Times New Roman" w:cs="Times New Roman"/>
        </w:rPr>
        <w:t xml:space="preserve"> warrant discussion in the context of water supply management and the broader monitoring program.</w:t>
      </w:r>
    </w:p>
    <w:p w14:paraId="37134EA9" w14:textId="549E85F3" w:rsidR="003873BB" w:rsidRDefault="003873BB" w:rsidP="006E6E0A">
      <w:pPr>
        <w:ind w:firstLine="720"/>
      </w:pPr>
      <w:r>
        <w:rPr>
          <w:rFonts w:eastAsia="Times New Roman" w:cs="Times New Roman"/>
        </w:rPr>
        <w:t>First, the 2015–2016 drought stands out as the most severe event in the 25-year record, consistent with its regional impact across the FSM and other Pacific nations during the same period. At Majuro, the event was especially consequential because the minimum monthly precipitation (12.3 m</w:t>
      </w:r>
      <w:r w:rsidR="006E6E0A">
        <w:rPr>
          <w:rFonts w:eastAsia="Times New Roman" w:cs="Times New Roman"/>
        </w:rPr>
        <w:t>m</w:t>
      </w:r>
      <w:r>
        <w:rPr>
          <w:rFonts w:eastAsia="Times New Roman" w:cs="Times New Roman"/>
        </w:rPr>
        <w:t xml:space="preserve"> in March 2016) represents a near-complete failure of rainfall during what is already a climatologically dry month. The propagation of Drier classifications through the 3-month and 6-month windows during this event confirms that the deficit was not a single-month anomaly but a sustained, multi-month failure of the normal precipitation regime.</w:t>
      </w:r>
    </w:p>
    <w:p w14:paraId="42544C7C" w14:textId="77777777" w:rsidR="00FA4EF9" w:rsidRDefault="003873BB" w:rsidP="00FA4EF9">
      <w:pPr>
        <w:ind w:firstLine="720"/>
      </w:pPr>
      <w:r>
        <w:rPr>
          <w:rFonts w:eastAsia="Times New Roman" w:cs="Times New Roman"/>
        </w:rPr>
        <w:t>Second, the frequency of PEAC-Red months (11 percent) is operationally significant. These 36 months represent periods when absolute precipitation was insufficient to sustain rainwater catchment systems, regardless of whether conditions were statistically unusual for Majuro. The concentration of PEAC-Red months during the dry season suggests that Majuro’s water supply infrastructure must be designed to bridge regular seasonal shortfalls, not only occasional drought events. The PEAC-Yellow frequency (24 percent) further indicates that marginal conditions are a routine feature of Majuro’s hydrological setting.</w:t>
      </w:r>
    </w:p>
    <w:p w14:paraId="201C7F27" w14:textId="6F238FE6" w:rsidR="003873BB" w:rsidRPr="00E4753E" w:rsidRDefault="003873BB" w:rsidP="00FA4EF9">
      <w:pPr>
        <w:ind w:firstLine="720"/>
      </w:pPr>
      <w:r>
        <w:rPr>
          <w:rFonts w:eastAsia="Times New Roman" w:cs="Times New Roman"/>
        </w:rPr>
        <w:t xml:space="preserve">Third, the multi-timescale approach reveals that several episodes which appear as isolated Drier or Dry months at the 1-month window are in fact part of longer cumulative deficits visible at the 3-month and 6-month windows. The May–August 2009 episode, for example, shows the 6-month Rainfall Index in the Drier category for all 4 months, indicating that the preceding months had also been below normal. This kind of multi-month signal is directly relevant to water storage </w:t>
      </w:r>
      <w:r>
        <w:rPr>
          <w:rFonts w:eastAsia="Times New Roman" w:cs="Times New Roman"/>
        </w:rPr>
        <w:lastRenderedPageBreak/>
        <w:t>planning, as it identifies periods when reservoir or catchment reserves are likely to be drawn down by sustained below-normal precipitation.</w:t>
      </w:r>
    </w:p>
    <w:p w14:paraId="1510E2B6" w14:textId="5989969D" w:rsidR="00947B6F" w:rsidRDefault="00947B6F" w:rsidP="00947B6F">
      <w:pPr>
        <w:pStyle w:val="Head3"/>
      </w:pPr>
      <w:bookmarkStart w:id="68" w:name="_Toc227693254"/>
      <w:r w:rsidRPr="00A456F1">
        <w:t>Automated 7-Day Precipitation Forecasting</w:t>
      </w:r>
      <w:bookmarkEnd w:id="68"/>
    </w:p>
    <w:p w14:paraId="164EE42C" w14:textId="417DF274" w:rsidR="00E21ACC" w:rsidRPr="00E21ACC" w:rsidRDefault="00E21ACC" w:rsidP="00E21ACC">
      <w:pPr>
        <w:rPr>
          <w:rFonts w:eastAsia="Times New Roman"/>
          <w:b/>
        </w:rPr>
      </w:pPr>
      <w:r>
        <w:rPr>
          <w:rFonts w:eastAsia="Times New Roman" w:cs="Times New Roman"/>
        </w:rPr>
        <w:t xml:space="preserve">This </w:t>
      </w:r>
      <w:r w:rsidRPr="005A3410">
        <w:rPr>
          <w:rFonts w:eastAsia="Times New Roman"/>
          <w:bCs/>
        </w:rPr>
        <w:t xml:space="preserve">section of the </w:t>
      </w:r>
      <w:r w:rsidRPr="005A3410">
        <w:rPr>
          <w:rFonts w:eastAsia="Times New Roman" w:cs="Times New Roman"/>
          <w:bCs/>
        </w:rPr>
        <w:t>report</w:t>
      </w:r>
      <w:r>
        <w:rPr>
          <w:rFonts w:eastAsia="Times New Roman" w:cs="Times New Roman"/>
        </w:rPr>
        <w:t xml:space="preserve"> </w:t>
      </w:r>
      <w:r w:rsidRPr="006E467D">
        <w:rPr>
          <w:rFonts w:eastAsia="Times New Roman"/>
        </w:rPr>
        <w:t xml:space="preserve">documents the 7-day precipitation forecasting system for </w:t>
      </w:r>
      <w:r w:rsidR="004F1FD5">
        <w:rPr>
          <w:rFonts w:eastAsia="Times New Roman"/>
        </w:rPr>
        <w:t>Majuro</w:t>
      </w:r>
      <w:r w:rsidRPr="006E467D">
        <w:rPr>
          <w:rFonts w:eastAsia="Times New Roman"/>
        </w:rPr>
        <w:t xml:space="preserve"> and presents the forecast for March 10–16, 2026 as a demonstration of the operational output format and content. Detailed descriptions of the data sources, processing pipeline, and forecasting methodology are provided in Volume 1 of this report series. The present volume focuses on the system design, output products, and an illustrative forecast example.</w:t>
      </w:r>
    </w:p>
    <w:p w14:paraId="06F9E3D3" w14:textId="77777777" w:rsidR="004F1FD5" w:rsidRDefault="004F1FD5" w:rsidP="004F1FD5">
      <w:pPr>
        <w:spacing w:after="0"/>
        <w:rPr>
          <w:rFonts w:ascii="Arial" w:hAnsi="Arial" w:cs="Arial"/>
          <w:b/>
          <w:bCs/>
          <w:i/>
          <w:iCs/>
          <w:sz w:val="22"/>
          <w:szCs w:val="22"/>
        </w:rPr>
      </w:pPr>
      <w:r w:rsidRPr="00756900">
        <w:rPr>
          <w:rFonts w:ascii="Arial" w:hAnsi="Arial" w:cs="Arial"/>
          <w:b/>
          <w:bCs/>
          <w:i/>
          <w:iCs/>
          <w:sz w:val="22"/>
          <w:szCs w:val="22"/>
        </w:rPr>
        <w:t>Forecasting System Overview</w:t>
      </w:r>
    </w:p>
    <w:p w14:paraId="3BA5BECA" w14:textId="5E0EDF66" w:rsidR="004F1FD5" w:rsidRDefault="004F1FD5" w:rsidP="004F1FD5">
      <w:r>
        <w:t xml:space="preserve">The forecasting methodology is described in detail in Volume 1. In brief, the system retrieves daily precipitation forecasts from the NOAA Global Forecast System (GFS) at 0.25° spatial resolution for the 7-day forecast horizon. </w:t>
      </w:r>
      <w:r w:rsidR="008E4FCE" w:rsidRPr="008E4FCE">
        <w:t>Total accumulated precipitation fields are downloaded from the NOAA NOMADS server in GRIB2 format, and daily totals are computed by summing the four 6-</w:t>
      </w:r>
      <w:proofErr w:type="gramStart"/>
      <w:r w:rsidR="008E4FCE" w:rsidRPr="008E4FCE">
        <w:t>hourly</w:t>
      </w:r>
      <w:proofErr w:type="gramEnd"/>
      <w:r w:rsidR="008E4FCE" w:rsidRPr="008E4FCE">
        <w:t xml:space="preserve"> accumulations within each 24-hour period. Zonal statistics are extracted using a polygon shapefile delineating the atoll boundary. The processing pipeline is implemented in R using the terra, sf, </w:t>
      </w:r>
      <w:proofErr w:type="spellStart"/>
      <w:r w:rsidR="008E4FCE" w:rsidRPr="008E4FCE">
        <w:t>tidyverse</w:t>
      </w:r>
      <w:proofErr w:type="spellEnd"/>
      <w:r w:rsidR="008E4FCE" w:rsidRPr="008E4FCE">
        <w:t xml:space="preserve">, ggplot2, and </w:t>
      </w:r>
      <w:proofErr w:type="spellStart"/>
      <w:r w:rsidR="008E4FCE" w:rsidRPr="008E4FCE">
        <w:t>magick</w:t>
      </w:r>
      <w:proofErr w:type="spellEnd"/>
      <w:r w:rsidR="008E4FCE" w:rsidRPr="008E4FCE">
        <w:t xml:space="preserve"> packages.</w:t>
      </w:r>
    </w:p>
    <w:p w14:paraId="60951A81" w14:textId="40835590" w:rsidR="004F1FD5" w:rsidRDefault="004F1FD5" w:rsidP="004F1FD5">
      <w:pPr>
        <w:ind w:firstLine="720"/>
      </w:pPr>
      <w:r>
        <w:t>The system generates bar charts, animated GIF maps, and summary CSV tables for each forecast cycle, packaged into a ZIP archive for distribution. Alert thresholds of 50 mm per day and 200 mm per 7-day total are applied (</w:t>
      </w:r>
      <w:r w:rsidR="00EF3339">
        <w:fldChar w:fldCharType="begin"/>
      </w:r>
      <w:r w:rsidR="00EF3339">
        <w:instrText xml:space="preserve"> REF _Ref227581799 \h </w:instrText>
      </w:r>
      <w:r w:rsidR="00EF3339">
        <w:fldChar w:fldCharType="separate"/>
      </w:r>
      <w:r w:rsidR="00EF3339" w:rsidRPr="00B144FB">
        <w:rPr>
          <w:rFonts w:ascii="Arial Narrow" w:hAnsi="Arial Narrow"/>
        </w:rPr>
        <w:t xml:space="preserve">Table </w:t>
      </w:r>
      <w:r w:rsidR="00EF3339">
        <w:rPr>
          <w:rFonts w:ascii="Arial Narrow" w:hAnsi="Arial Narrow"/>
          <w:noProof/>
        </w:rPr>
        <w:t>5</w:t>
      </w:r>
      <w:r w:rsidR="00EF3339">
        <w:fldChar w:fldCharType="end"/>
      </w:r>
      <w:r>
        <w:t>). Forecast products are compiled into HTML report format and distributed via automated email.</w:t>
      </w:r>
      <w:r w:rsidR="002546FE">
        <w:t xml:space="preserve"> </w:t>
      </w:r>
      <w:r w:rsidR="002546FE" w:rsidRPr="002546FE">
        <w:t>Users should note that at GFS 0.25° resolution, Majuro’s narrow atoll islets are represented by only a few grid cells, and forecasts represent area-average values rather than point observations.</w:t>
      </w:r>
    </w:p>
    <w:p w14:paraId="5326BFDF" w14:textId="589B107B" w:rsidR="004F1FD5" w:rsidRPr="00B144FB" w:rsidRDefault="004F1FD5" w:rsidP="004F1FD5">
      <w:pPr>
        <w:pStyle w:val="Caption"/>
        <w:keepNext/>
        <w:rPr>
          <w:rFonts w:ascii="Arial Narrow" w:hAnsi="Arial Narrow"/>
          <w:szCs w:val="24"/>
        </w:rPr>
      </w:pPr>
      <w:bookmarkStart w:id="69" w:name="_Ref227581799"/>
      <w:bookmarkStart w:id="70" w:name="_Toc228286457"/>
      <w:r w:rsidRPr="00B144FB">
        <w:rPr>
          <w:rFonts w:ascii="Arial Narrow" w:hAnsi="Arial Narrow"/>
          <w:szCs w:val="24"/>
        </w:rPr>
        <w:lastRenderedPageBreak/>
        <w:t xml:space="preserve">Table </w:t>
      </w:r>
      <w:r w:rsidRPr="00B144FB">
        <w:rPr>
          <w:rFonts w:ascii="Arial Narrow" w:hAnsi="Arial Narrow"/>
          <w:szCs w:val="24"/>
        </w:rPr>
        <w:fldChar w:fldCharType="begin"/>
      </w:r>
      <w:r w:rsidRPr="00B144FB">
        <w:rPr>
          <w:rFonts w:ascii="Arial Narrow" w:hAnsi="Arial Narrow"/>
          <w:szCs w:val="24"/>
        </w:rPr>
        <w:instrText xml:space="preserve"> SEQ Table \* ARABIC </w:instrText>
      </w:r>
      <w:r w:rsidRPr="00B144FB">
        <w:rPr>
          <w:rFonts w:ascii="Arial Narrow" w:hAnsi="Arial Narrow"/>
          <w:szCs w:val="24"/>
        </w:rPr>
        <w:fldChar w:fldCharType="separate"/>
      </w:r>
      <w:r w:rsidR="00C316AC">
        <w:rPr>
          <w:rFonts w:ascii="Arial Narrow" w:hAnsi="Arial Narrow"/>
          <w:noProof/>
          <w:szCs w:val="24"/>
        </w:rPr>
        <w:t>5</w:t>
      </w:r>
      <w:r w:rsidRPr="00B144FB">
        <w:rPr>
          <w:rFonts w:ascii="Arial Narrow" w:hAnsi="Arial Narrow"/>
          <w:szCs w:val="24"/>
        </w:rPr>
        <w:fldChar w:fldCharType="end"/>
      </w:r>
      <w:bookmarkEnd w:id="69"/>
      <w:r w:rsidRPr="00B144FB">
        <w:rPr>
          <w:rFonts w:ascii="Arial Narrow" w:hAnsi="Arial Narrow"/>
          <w:szCs w:val="24"/>
        </w:rPr>
        <w:t>. Alert thresholds applied to GFS precipitation forecasts.</w:t>
      </w:r>
      <w:bookmarkEnd w:id="70"/>
    </w:p>
    <w:tbl>
      <w:tblPr>
        <w:tblStyle w:val="TableGrid"/>
        <w:tblW w:w="9360" w:type="dxa"/>
        <w:tblLook w:val="0000" w:firstRow="0" w:lastRow="0" w:firstColumn="0" w:lastColumn="0" w:noHBand="0" w:noVBand="0"/>
      </w:tblPr>
      <w:tblGrid>
        <w:gridCol w:w="2200"/>
        <w:gridCol w:w="1800"/>
        <w:gridCol w:w="5360"/>
      </w:tblGrid>
      <w:tr w:rsidR="004F1FD5" w:rsidRPr="00B144FB" w14:paraId="2363E728" w14:textId="77777777" w:rsidTr="00AC18C0">
        <w:tc>
          <w:tcPr>
            <w:tcW w:w="2200" w:type="dxa"/>
          </w:tcPr>
          <w:p w14:paraId="109BB544" w14:textId="77777777" w:rsidR="004F1FD5" w:rsidRPr="00B144FB" w:rsidRDefault="004F1FD5" w:rsidP="00AC18C0">
            <w:pPr>
              <w:spacing w:line="480" w:lineRule="auto"/>
              <w:jc w:val="center"/>
              <w:rPr>
                <w:rFonts w:ascii="Arial Narrow" w:hAnsi="Arial Narrow"/>
              </w:rPr>
            </w:pPr>
            <w:r w:rsidRPr="00B144FB">
              <w:rPr>
                <w:rFonts w:ascii="Arial Narrow" w:hAnsi="Arial Narrow"/>
                <w:b/>
                <w:bCs/>
              </w:rPr>
              <w:t>Threshold</w:t>
            </w:r>
          </w:p>
        </w:tc>
        <w:tc>
          <w:tcPr>
            <w:tcW w:w="1800" w:type="dxa"/>
          </w:tcPr>
          <w:p w14:paraId="4085B0B8" w14:textId="77777777" w:rsidR="004F1FD5" w:rsidRPr="00B144FB" w:rsidRDefault="004F1FD5" w:rsidP="00AC18C0">
            <w:pPr>
              <w:spacing w:line="480" w:lineRule="auto"/>
              <w:jc w:val="center"/>
              <w:rPr>
                <w:rFonts w:ascii="Arial Narrow" w:hAnsi="Arial Narrow"/>
              </w:rPr>
            </w:pPr>
            <w:r w:rsidRPr="00B144FB">
              <w:rPr>
                <w:rFonts w:ascii="Arial Narrow" w:hAnsi="Arial Narrow"/>
                <w:b/>
                <w:bCs/>
              </w:rPr>
              <w:t>Value</w:t>
            </w:r>
          </w:p>
        </w:tc>
        <w:tc>
          <w:tcPr>
            <w:tcW w:w="5360" w:type="dxa"/>
          </w:tcPr>
          <w:p w14:paraId="63D95377" w14:textId="77777777" w:rsidR="004F1FD5" w:rsidRPr="00B144FB" w:rsidRDefault="004F1FD5" w:rsidP="00AC18C0">
            <w:pPr>
              <w:spacing w:line="480" w:lineRule="auto"/>
              <w:jc w:val="center"/>
              <w:rPr>
                <w:rFonts w:ascii="Arial Narrow" w:hAnsi="Arial Narrow"/>
              </w:rPr>
            </w:pPr>
            <w:r w:rsidRPr="00B144FB">
              <w:rPr>
                <w:rFonts w:ascii="Arial Narrow" w:hAnsi="Arial Narrow"/>
                <w:b/>
                <w:bCs/>
              </w:rPr>
              <w:t>Significance</w:t>
            </w:r>
          </w:p>
        </w:tc>
      </w:tr>
      <w:tr w:rsidR="004F1FD5" w:rsidRPr="00B144FB" w14:paraId="12772187" w14:textId="77777777" w:rsidTr="00AC18C0">
        <w:tc>
          <w:tcPr>
            <w:tcW w:w="2200" w:type="dxa"/>
          </w:tcPr>
          <w:p w14:paraId="4AA7A4B9" w14:textId="77777777" w:rsidR="004F1FD5" w:rsidRPr="00B144FB" w:rsidRDefault="004F1FD5" w:rsidP="00AC18C0">
            <w:pPr>
              <w:spacing w:line="480" w:lineRule="auto"/>
              <w:jc w:val="center"/>
              <w:rPr>
                <w:rFonts w:ascii="Arial Narrow" w:hAnsi="Arial Narrow"/>
              </w:rPr>
            </w:pPr>
            <w:r w:rsidRPr="00B144FB">
              <w:rPr>
                <w:rFonts w:ascii="Arial Narrow" w:hAnsi="Arial Narrow"/>
              </w:rPr>
              <w:t>Daily precipitation</w:t>
            </w:r>
          </w:p>
        </w:tc>
        <w:tc>
          <w:tcPr>
            <w:tcW w:w="1800" w:type="dxa"/>
          </w:tcPr>
          <w:p w14:paraId="1C673A15" w14:textId="77777777" w:rsidR="004F1FD5" w:rsidRPr="00B144FB" w:rsidRDefault="004F1FD5" w:rsidP="00AC18C0">
            <w:pPr>
              <w:spacing w:line="480" w:lineRule="auto"/>
              <w:jc w:val="center"/>
              <w:rPr>
                <w:rFonts w:ascii="Arial Narrow" w:hAnsi="Arial Narrow"/>
              </w:rPr>
            </w:pPr>
            <w:r w:rsidRPr="00B144FB">
              <w:rPr>
                <w:rFonts w:ascii="Arial Narrow" w:hAnsi="Arial Narrow"/>
              </w:rPr>
              <w:t>≥ 50 mm</w:t>
            </w:r>
          </w:p>
        </w:tc>
        <w:tc>
          <w:tcPr>
            <w:tcW w:w="5360" w:type="dxa"/>
          </w:tcPr>
          <w:p w14:paraId="3F2BE82F" w14:textId="77777777" w:rsidR="004F1FD5" w:rsidRPr="00B144FB" w:rsidRDefault="004F1FD5" w:rsidP="00AC18C0">
            <w:pPr>
              <w:spacing w:line="480" w:lineRule="auto"/>
              <w:jc w:val="center"/>
              <w:rPr>
                <w:rFonts w:ascii="Arial Narrow" w:hAnsi="Arial Narrow"/>
              </w:rPr>
            </w:pPr>
            <w:r w:rsidRPr="00B144FB">
              <w:rPr>
                <w:rFonts w:ascii="Arial Narrow" w:hAnsi="Arial Narrow"/>
              </w:rPr>
              <w:t>Potential flood risk; heavy rainfall day</w:t>
            </w:r>
          </w:p>
        </w:tc>
      </w:tr>
      <w:tr w:rsidR="004F1FD5" w:rsidRPr="00B144FB" w14:paraId="39751F99" w14:textId="77777777" w:rsidTr="00AC18C0">
        <w:tc>
          <w:tcPr>
            <w:tcW w:w="2200" w:type="dxa"/>
          </w:tcPr>
          <w:p w14:paraId="7F4DF255" w14:textId="77777777" w:rsidR="004F1FD5" w:rsidRPr="00B144FB" w:rsidRDefault="004F1FD5" w:rsidP="00AC18C0">
            <w:pPr>
              <w:spacing w:line="480" w:lineRule="auto"/>
              <w:jc w:val="center"/>
              <w:rPr>
                <w:rFonts w:ascii="Arial Narrow" w:hAnsi="Arial Narrow"/>
              </w:rPr>
            </w:pPr>
            <w:r w:rsidRPr="00B144FB">
              <w:rPr>
                <w:rFonts w:ascii="Arial Narrow" w:hAnsi="Arial Narrow"/>
              </w:rPr>
              <w:t>7-day total</w:t>
            </w:r>
          </w:p>
        </w:tc>
        <w:tc>
          <w:tcPr>
            <w:tcW w:w="1800" w:type="dxa"/>
          </w:tcPr>
          <w:p w14:paraId="6C56B338" w14:textId="77777777" w:rsidR="004F1FD5" w:rsidRPr="00B144FB" w:rsidRDefault="004F1FD5" w:rsidP="00AC18C0">
            <w:pPr>
              <w:spacing w:line="480" w:lineRule="auto"/>
              <w:jc w:val="center"/>
              <w:rPr>
                <w:rFonts w:ascii="Arial Narrow" w:hAnsi="Arial Narrow"/>
              </w:rPr>
            </w:pPr>
            <w:r w:rsidRPr="00B144FB">
              <w:rPr>
                <w:rFonts w:ascii="Arial Narrow" w:hAnsi="Arial Narrow"/>
              </w:rPr>
              <w:t>≥ 200 mm</w:t>
            </w:r>
          </w:p>
        </w:tc>
        <w:tc>
          <w:tcPr>
            <w:tcW w:w="5360" w:type="dxa"/>
          </w:tcPr>
          <w:p w14:paraId="55264D6D" w14:textId="77777777" w:rsidR="004F1FD5" w:rsidRPr="00B144FB" w:rsidRDefault="004F1FD5" w:rsidP="00AC18C0">
            <w:pPr>
              <w:spacing w:line="480" w:lineRule="auto"/>
              <w:jc w:val="center"/>
              <w:rPr>
                <w:rFonts w:ascii="Arial Narrow" w:hAnsi="Arial Narrow"/>
              </w:rPr>
            </w:pPr>
            <w:r w:rsidRPr="00B144FB">
              <w:rPr>
                <w:rFonts w:ascii="Arial Narrow" w:hAnsi="Arial Narrow"/>
              </w:rPr>
              <w:t>Sustained heavy precipitation over forecast period</w:t>
            </w:r>
          </w:p>
        </w:tc>
      </w:tr>
    </w:tbl>
    <w:p w14:paraId="62AC30B2" w14:textId="77777777" w:rsidR="00F46AA8" w:rsidRDefault="00F46AA8" w:rsidP="00B759B5"/>
    <w:p w14:paraId="3A8018E6" w14:textId="77777777" w:rsidR="003668BD" w:rsidRDefault="003668BD" w:rsidP="003668BD">
      <w:pPr>
        <w:spacing w:after="0"/>
        <w:rPr>
          <w:rFonts w:ascii="Arial" w:hAnsi="Arial" w:cs="Arial"/>
          <w:b/>
          <w:bCs/>
          <w:i/>
          <w:iCs/>
          <w:sz w:val="22"/>
          <w:szCs w:val="22"/>
        </w:rPr>
      </w:pPr>
      <w:r w:rsidRPr="00D9605A">
        <w:rPr>
          <w:rFonts w:ascii="Arial" w:hAnsi="Arial" w:cs="Arial"/>
          <w:b/>
          <w:bCs/>
          <w:i/>
          <w:iCs/>
          <w:sz w:val="22"/>
          <w:szCs w:val="22"/>
        </w:rPr>
        <w:t>Demonstration Forecast: March 10–16, 2026</w:t>
      </w:r>
    </w:p>
    <w:p w14:paraId="570DE821" w14:textId="77777777" w:rsidR="00E54CDA" w:rsidRDefault="00E54CDA" w:rsidP="003668BD">
      <w:pPr>
        <w:spacing w:before="240" w:after="0"/>
      </w:pPr>
      <w:r w:rsidRPr="00E54CDA">
        <w:t>The following section presents the GFS precipitation forecast for Majuro for March 10–16, 2026 (GFS model run 20260310, 12z cycle). This forecast period falls within the dry-season months at Majuro, when the ITCZ is displaced away from the Marshall Islands latitude and baseline rainfall is at its annual minimum.</w:t>
      </w:r>
    </w:p>
    <w:p w14:paraId="69D6B6C6" w14:textId="0617B881" w:rsidR="003668BD" w:rsidRPr="00BE0460" w:rsidRDefault="003668BD" w:rsidP="003668BD">
      <w:pPr>
        <w:spacing w:before="240" w:after="0"/>
        <w:rPr>
          <w:rFonts w:ascii="Arial" w:hAnsi="Arial" w:cs="Arial"/>
          <w:i/>
          <w:iCs/>
          <w:sz w:val="22"/>
          <w:szCs w:val="22"/>
        </w:rPr>
      </w:pPr>
      <w:r w:rsidRPr="00BE0460">
        <w:rPr>
          <w:rFonts w:ascii="Arial" w:hAnsi="Arial" w:cs="Arial"/>
          <w:i/>
          <w:iCs/>
          <w:sz w:val="22"/>
          <w:szCs w:val="22"/>
        </w:rPr>
        <w:t>Forecast</w:t>
      </w:r>
      <w:r w:rsidRPr="00BE0460">
        <w:rPr>
          <w:rFonts w:ascii="Arial" w:eastAsia="Times New Roman" w:hAnsi="Arial" w:cs="Arial"/>
          <w:b/>
          <w:bCs/>
          <w:i/>
          <w:iCs/>
          <w:sz w:val="22"/>
          <w:szCs w:val="22"/>
        </w:rPr>
        <w:t xml:space="preserve"> </w:t>
      </w:r>
      <w:r w:rsidRPr="00BE0460">
        <w:rPr>
          <w:rFonts w:ascii="Arial" w:hAnsi="Arial" w:cs="Arial"/>
          <w:i/>
          <w:iCs/>
          <w:sz w:val="22"/>
          <w:szCs w:val="22"/>
        </w:rPr>
        <w:t>Overview</w:t>
      </w:r>
    </w:p>
    <w:p w14:paraId="50DCC672" w14:textId="596BD992" w:rsidR="00C316AC" w:rsidRDefault="0029234B" w:rsidP="001D4A87">
      <w:pPr>
        <w:rPr>
          <w:rFonts w:eastAsia="Times New Roman" w:cs="Times New Roman"/>
        </w:rPr>
      </w:pPr>
      <w:r w:rsidRPr="0029234B">
        <w:rPr>
          <w:rFonts w:eastAsia="Times New Roman" w:cs="Times New Roman"/>
        </w:rPr>
        <w:fldChar w:fldCharType="begin"/>
      </w:r>
      <w:r w:rsidRPr="0029234B">
        <w:rPr>
          <w:rFonts w:eastAsia="Times New Roman" w:cs="Times New Roman"/>
        </w:rPr>
        <w:instrText xml:space="preserve"> REF _Ref227597613 \h </w:instrText>
      </w:r>
      <w:r>
        <w:rPr>
          <w:rFonts w:eastAsia="Times New Roman" w:cs="Times New Roman"/>
        </w:rPr>
        <w:instrText xml:space="preserve"> \* MERGEFORMAT </w:instrText>
      </w:r>
      <w:r w:rsidRPr="0029234B">
        <w:rPr>
          <w:rFonts w:eastAsia="Times New Roman" w:cs="Times New Roman"/>
        </w:rPr>
      </w:r>
      <w:r w:rsidRPr="0029234B">
        <w:rPr>
          <w:rFonts w:eastAsia="Times New Roman" w:cs="Times New Roman"/>
        </w:rPr>
        <w:fldChar w:fldCharType="separate"/>
      </w:r>
      <w:r w:rsidRPr="0029234B">
        <w:rPr>
          <w:rFonts w:cs="Times New Roman"/>
        </w:rPr>
        <w:t xml:space="preserve">Table </w:t>
      </w:r>
      <w:r w:rsidRPr="0029234B">
        <w:rPr>
          <w:rFonts w:cs="Times New Roman"/>
          <w:noProof/>
        </w:rPr>
        <w:t>6</w:t>
      </w:r>
      <w:r w:rsidRPr="0029234B">
        <w:rPr>
          <w:rFonts w:eastAsia="Times New Roman" w:cs="Times New Roman"/>
        </w:rPr>
        <w:fldChar w:fldCharType="end"/>
      </w:r>
      <w:r w:rsidR="00C316AC" w:rsidRPr="0029234B">
        <w:rPr>
          <w:rFonts w:eastAsia="Times New Roman" w:cs="Times New Roman"/>
        </w:rPr>
        <w:t xml:space="preserve"> presents</w:t>
      </w:r>
      <w:r w:rsidR="00C316AC">
        <w:rPr>
          <w:rFonts w:eastAsia="Times New Roman" w:cs="Times New Roman"/>
        </w:rPr>
        <w:t xml:space="preserve"> the daily forecast precipitation for Majuro. The 7-day total is 27.5 m</w:t>
      </w:r>
      <w:r w:rsidR="001D4A87">
        <w:rPr>
          <w:rFonts w:eastAsia="Times New Roman" w:cs="Times New Roman"/>
        </w:rPr>
        <w:t xml:space="preserve">m. </w:t>
      </w:r>
      <w:r w:rsidR="00C316AC">
        <w:rPr>
          <w:rFonts w:eastAsia="Times New Roman" w:cs="Times New Roman"/>
        </w:rPr>
        <w:t>The highest single-day value is 8.3 m</w:t>
      </w:r>
      <w:r w:rsidR="001D4A87">
        <w:rPr>
          <w:rFonts w:eastAsia="Times New Roman" w:cs="Times New Roman"/>
        </w:rPr>
        <w:t>m</w:t>
      </w:r>
      <w:r w:rsidR="00C316AC">
        <w:rPr>
          <w:rFonts w:eastAsia="Times New Roman" w:cs="Times New Roman"/>
        </w:rPr>
        <w:t xml:space="preserve"> on Saturday, March 14, and the lowest is 0.6 m</w:t>
      </w:r>
      <w:r w:rsidR="001D4A87">
        <w:rPr>
          <w:rFonts w:eastAsia="Times New Roman" w:cs="Times New Roman"/>
        </w:rPr>
        <w:t>m</w:t>
      </w:r>
      <w:r w:rsidR="00C316AC">
        <w:rPr>
          <w:rFonts w:eastAsia="Times New Roman" w:cs="Times New Roman"/>
        </w:rPr>
        <w:t xml:space="preserve"> on Sunday, March 15. No daily values exceeded the 50-</w:t>
      </w:r>
      <w:r w:rsidR="00A777D0">
        <w:rPr>
          <w:rFonts w:eastAsia="Times New Roman" w:cs="Times New Roman"/>
        </w:rPr>
        <w:t>mm</w:t>
      </w:r>
      <w:r w:rsidR="00C316AC">
        <w:rPr>
          <w:rFonts w:eastAsia="Times New Roman" w:cs="Times New Roman"/>
        </w:rPr>
        <w:t xml:space="preserve"> alert threshold, and the 7-day total is far below the 200-</w:t>
      </w:r>
      <w:r w:rsidR="00A777D0">
        <w:rPr>
          <w:rFonts w:eastAsia="Times New Roman" w:cs="Times New Roman"/>
        </w:rPr>
        <w:t>mm</w:t>
      </w:r>
      <w:r w:rsidR="00C316AC">
        <w:rPr>
          <w:rFonts w:eastAsia="Times New Roman" w:cs="Times New Roman"/>
        </w:rPr>
        <w:t xml:space="preserve"> weekly threshold. The forecast shows a bimodal pattern: moderate rainfall on the first day (6.6 </w:t>
      </w:r>
      <w:r w:rsidR="00A777D0">
        <w:rPr>
          <w:rFonts w:eastAsia="Times New Roman" w:cs="Times New Roman"/>
        </w:rPr>
        <w:t>mm</w:t>
      </w:r>
      <w:r w:rsidR="00C316AC">
        <w:rPr>
          <w:rFonts w:eastAsia="Times New Roman" w:cs="Times New Roman"/>
        </w:rPr>
        <w:t xml:space="preserve">, March 10) and a slightly higher secondary peak later in the week (6.4 </w:t>
      </w:r>
      <w:r w:rsidR="00A777D0">
        <w:rPr>
          <w:rFonts w:eastAsia="Times New Roman" w:cs="Times New Roman"/>
        </w:rPr>
        <w:t>mm</w:t>
      </w:r>
      <w:r w:rsidR="00C316AC">
        <w:rPr>
          <w:rFonts w:eastAsia="Times New Roman" w:cs="Times New Roman"/>
        </w:rPr>
        <w:t xml:space="preserve"> on Friday, March 13, and 8.3 millimeters on Saturday, March 14), with a pronounced lull on Wednesday (1.5 </w:t>
      </w:r>
      <w:r w:rsidR="00A777D0">
        <w:rPr>
          <w:rFonts w:eastAsia="Times New Roman" w:cs="Times New Roman"/>
        </w:rPr>
        <w:t>mm</w:t>
      </w:r>
      <w:r w:rsidR="00C316AC">
        <w:rPr>
          <w:rFonts w:eastAsia="Times New Roman" w:cs="Times New Roman"/>
        </w:rPr>
        <w:t xml:space="preserve">) and very low values on Sunday and Monday (0.6 and 1.2 </w:t>
      </w:r>
      <w:r w:rsidR="00A777D0">
        <w:rPr>
          <w:rFonts w:eastAsia="Times New Roman" w:cs="Times New Roman"/>
        </w:rPr>
        <w:t>mm</w:t>
      </w:r>
      <w:r w:rsidR="00C316AC">
        <w:rPr>
          <w:rFonts w:eastAsia="Times New Roman" w:cs="Times New Roman"/>
        </w:rPr>
        <w:t>).</w:t>
      </w:r>
    </w:p>
    <w:p w14:paraId="250D1701" w14:textId="77777777" w:rsidR="003724DC" w:rsidRDefault="003724DC" w:rsidP="001D4A87"/>
    <w:p w14:paraId="2C26F686" w14:textId="75A3B16A" w:rsidR="00C316AC" w:rsidRPr="00C316AC" w:rsidRDefault="00C316AC" w:rsidP="00C316AC">
      <w:pPr>
        <w:pStyle w:val="Caption"/>
        <w:keepNext/>
        <w:rPr>
          <w:rFonts w:ascii="Arial Narrow" w:hAnsi="Arial Narrow"/>
          <w:szCs w:val="24"/>
        </w:rPr>
      </w:pPr>
      <w:bookmarkStart w:id="71" w:name="_Ref227597613"/>
      <w:bookmarkStart w:id="72" w:name="_Toc228286458"/>
      <w:r w:rsidRPr="00C316AC">
        <w:rPr>
          <w:rFonts w:ascii="Arial Narrow" w:hAnsi="Arial Narrow"/>
          <w:szCs w:val="24"/>
        </w:rPr>
        <w:lastRenderedPageBreak/>
        <w:t xml:space="preserve">Table </w:t>
      </w:r>
      <w:r w:rsidRPr="00C316AC">
        <w:rPr>
          <w:rFonts w:ascii="Arial Narrow" w:hAnsi="Arial Narrow"/>
          <w:szCs w:val="24"/>
        </w:rPr>
        <w:fldChar w:fldCharType="begin"/>
      </w:r>
      <w:r w:rsidRPr="00C316AC">
        <w:rPr>
          <w:rFonts w:ascii="Arial Narrow" w:hAnsi="Arial Narrow"/>
          <w:szCs w:val="24"/>
        </w:rPr>
        <w:instrText xml:space="preserve"> SEQ Table \* ARABIC </w:instrText>
      </w:r>
      <w:r w:rsidRPr="00C316AC">
        <w:rPr>
          <w:rFonts w:ascii="Arial Narrow" w:hAnsi="Arial Narrow"/>
          <w:szCs w:val="24"/>
        </w:rPr>
        <w:fldChar w:fldCharType="separate"/>
      </w:r>
      <w:r w:rsidRPr="00C316AC">
        <w:rPr>
          <w:rFonts w:ascii="Arial Narrow" w:hAnsi="Arial Narrow"/>
          <w:noProof/>
          <w:szCs w:val="24"/>
        </w:rPr>
        <w:t>6</w:t>
      </w:r>
      <w:r w:rsidRPr="00C316AC">
        <w:rPr>
          <w:rFonts w:ascii="Arial Narrow" w:hAnsi="Arial Narrow"/>
          <w:szCs w:val="24"/>
        </w:rPr>
        <w:fldChar w:fldCharType="end"/>
      </w:r>
      <w:bookmarkEnd w:id="71"/>
      <w:r w:rsidRPr="00C316AC">
        <w:rPr>
          <w:rFonts w:ascii="Arial Narrow" w:hAnsi="Arial Narrow"/>
          <w:szCs w:val="24"/>
        </w:rPr>
        <w:t>. GFS 7-day precipitation forecast (</w:t>
      </w:r>
      <w:r w:rsidR="001465FC">
        <w:rPr>
          <w:rFonts w:ascii="Arial Narrow" w:hAnsi="Arial Narrow"/>
          <w:szCs w:val="24"/>
        </w:rPr>
        <w:t>mm</w:t>
      </w:r>
      <w:r w:rsidRPr="00C316AC">
        <w:rPr>
          <w:rFonts w:ascii="Arial Narrow" w:hAnsi="Arial Narrow"/>
          <w:szCs w:val="24"/>
        </w:rPr>
        <w:t xml:space="preserve">) for Majuro, March 10–16, 2026. GFS model </w:t>
      </w:r>
      <w:proofErr w:type="gramStart"/>
      <w:r w:rsidRPr="00C316AC">
        <w:rPr>
          <w:rFonts w:ascii="Arial Narrow" w:hAnsi="Arial Narrow"/>
          <w:szCs w:val="24"/>
        </w:rPr>
        <w:t>run</w:t>
      </w:r>
      <w:proofErr w:type="gramEnd"/>
      <w:r w:rsidRPr="00C316AC">
        <w:rPr>
          <w:rFonts w:ascii="Arial Narrow" w:hAnsi="Arial Narrow"/>
          <w:szCs w:val="24"/>
        </w:rPr>
        <w:t xml:space="preserve"> 20260310, 12z cycle. No alert thresholds were exceeded.</w:t>
      </w:r>
      <w:bookmarkEnd w:id="72"/>
    </w:p>
    <w:tbl>
      <w:tblPr>
        <w:tblStyle w:val="TableGrid"/>
        <w:tblW w:w="9400" w:type="dxa"/>
        <w:tblLook w:val="04A0" w:firstRow="1" w:lastRow="0" w:firstColumn="1" w:lastColumn="0" w:noHBand="0" w:noVBand="1"/>
      </w:tblPr>
      <w:tblGrid>
        <w:gridCol w:w="2200"/>
        <w:gridCol w:w="2200"/>
        <w:gridCol w:w="5000"/>
      </w:tblGrid>
      <w:tr w:rsidR="00C316AC" w:rsidRPr="00C316AC" w14:paraId="5E4B91DA" w14:textId="77777777" w:rsidTr="00C316AC">
        <w:tc>
          <w:tcPr>
            <w:tcW w:w="2200" w:type="dxa"/>
          </w:tcPr>
          <w:p w14:paraId="40B5E798"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b/>
                <w:bCs/>
              </w:rPr>
              <w:t>Day</w:t>
            </w:r>
          </w:p>
        </w:tc>
        <w:tc>
          <w:tcPr>
            <w:tcW w:w="2200" w:type="dxa"/>
          </w:tcPr>
          <w:p w14:paraId="1D828671"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b/>
                <w:bCs/>
              </w:rPr>
              <w:t>Date</w:t>
            </w:r>
          </w:p>
        </w:tc>
        <w:tc>
          <w:tcPr>
            <w:tcW w:w="5000" w:type="dxa"/>
          </w:tcPr>
          <w:p w14:paraId="336C56D2" w14:textId="77777777" w:rsidR="00C316AC" w:rsidRPr="00C316AC" w:rsidRDefault="00C316AC" w:rsidP="00C316AC">
            <w:pPr>
              <w:spacing w:line="480" w:lineRule="auto"/>
              <w:jc w:val="center"/>
              <w:rPr>
                <w:rFonts w:ascii="Arial Narrow" w:hAnsi="Arial Narrow"/>
              </w:rPr>
            </w:pPr>
            <w:proofErr w:type="spellStart"/>
            <w:r w:rsidRPr="00C316AC">
              <w:rPr>
                <w:rFonts w:ascii="Arial Narrow" w:eastAsia="Times New Roman" w:hAnsi="Arial Narrow" w:cs="Times New Roman"/>
                <w:b/>
                <w:bCs/>
              </w:rPr>
              <w:t>Precip</w:t>
            </w:r>
            <w:proofErr w:type="spellEnd"/>
            <w:r w:rsidRPr="00C316AC">
              <w:rPr>
                <w:rFonts w:ascii="Arial Narrow" w:eastAsia="Times New Roman" w:hAnsi="Arial Narrow" w:cs="Times New Roman"/>
                <w:b/>
                <w:bCs/>
              </w:rPr>
              <w:t>. (mm)</w:t>
            </w:r>
          </w:p>
        </w:tc>
      </w:tr>
      <w:tr w:rsidR="00C316AC" w:rsidRPr="00C316AC" w14:paraId="48159A20" w14:textId="77777777" w:rsidTr="00C316AC">
        <w:tc>
          <w:tcPr>
            <w:tcW w:w="2200" w:type="dxa"/>
          </w:tcPr>
          <w:p w14:paraId="142730B0"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Tuesday</w:t>
            </w:r>
          </w:p>
        </w:tc>
        <w:tc>
          <w:tcPr>
            <w:tcW w:w="2200" w:type="dxa"/>
          </w:tcPr>
          <w:p w14:paraId="3E839745"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10</w:t>
            </w:r>
          </w:p>
        </w:tc>
        <w:tc>
          <w:tcPr>
            <w:tcW w:w="5000" w:type="dxa"/>
          </w:tcPr>
          <w:p w14:paraId="594F08E8"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6.6</w:t>
            </w:r>
          </w:p>
        </w:tc>
      </w:tr>
      <w:tr w:rsidR="00C316AC" w:rsidRPr="00C316AC" w14:paraId="47FDE688" w14:textId="77777777" w:rsidTr="00C316AC">
        <w:tc>
          <w:tcPr>
            <w:tcW w:w="2200" w:type="dxa"/>
          </w:tcPr>
          <w:p w14:paraId="7FC6A266"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Wednesday</w:t>
            </w:r>
          </w:p>
        </w:tc>
        <w:tc>
          <w:tcPr>
            <w:tcW w:w="2200" w:type="dxa"/>
          </w:tcPr>
          <w:p w14:paraId="02512F06"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11</w:t>
            </w:r>
          </w:p>
        </w:tc>
        <w:tc>
          <w:tcPr>
            <w:tcW w:w="5000" w:type="dxa"/>
          </w:tcPr>
          <w:p w14:paraId="7F85B857"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1.5</w:t>
            </w:r>
          </w:p>
        </w:tc>
      </w:tr>
      <w:tr w:rsidR="00C316AC" w:rsidRPr="00C316AC" w14:paraId="2F397078" w14:textId="77777777" w:rsidTr="00C316AC">
        <w:tc>
          <w:tcPr>
            <w:tcW w:w="2200" w:type="dxa"/>
          </w:tcPr>
          <w:p w14:paraId="7281C2CC"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Thursday</w:t>
            </w:r>
          </w:p>
        </w:tc>
        <w:tc>
          <w:tcPr>
            <w:tcW w:w="2200" w:type="dxa"/>
          </w:tcPr>
          <w:p w14:paraId="771B12AD"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12</w:t>
            </w:r>
          </w:p>
        </w:tc>
        <w:tc>
          <w:tcPr>
            <w:tcW w:w="5000" w:type="dxa"/>
          </w:tcPr>
          <w:p w14:paraId="64A87FBD"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2.9</w:t>
            </w:r>
          </w:p>
        </w:tc>
      </w:tr>
      <w:tr w:rsidR="00C316AC" w:rsidRPr="00C316AC" w14:paraId="518CE08E" w14:textId="77777777" w:rsidTr="00C316AC">
        <w:tc>
          <w:tcPr>
            <w:tcW w:w="2200" w:type="dxa"/>
          </w:tcPr>
          <w:p w14:paraId="499C7A45"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Friday</w:t>
            </w:r>
          </w:p>
        </w:tc>
        <w:tc>
          <w:tcPr>
            <w:tcW w:w="2200" w:type="dxa"/>
          </w:tcPr>
          <w:p w14:paraId="130B7845"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13</w:t>
            </w:r>
          </w:p>
        </w:tc>
        <w:tc>
          <w:tcPr>
            <w:tcW w:w="5000" w:type="dxa"/>
          </w:tcPr>
          <w:p w14:paraId="3A11A251"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6.4</w:t>
            </w:r>
          </w:p>
        </w:tc>
      </w:tr>
      <w:tr w:rsidR="00C316AC" w:rsidRPr="00C316AC" w14:paraId="7F54BAF7" w14:textId="77777777" w:rsidTr="00C316AC">
        <w:tc>
          <w:tcPr>
            <w:tcW w:w="2200" w:type="dxa"/>
          </w:tcPr>
          <w:p w14:paraId="248F8D57"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Saturday</w:t>
            </w:r>
          </w:p>
        </w:tc>
        <w:tc>
          <w:tcPr>
            <w:tcW w:w="2200" w:type="dxa"/>
          </w:tcPr>
          <w:p w14:paraId="322E0FB5"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14</w:t>
            </w:r>
          </w:p>
        </w:tc>
        <w:tc>
          <w:tcPr>
            <w:tcW w:w="5000" w:type="dxa"/>
          </w:tcPr>
          <w:p w14:paraId="2C1D6913"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8.3</w:t>
            </w:r>
          </w:p>
        </w:tc>
      </w:tr>
      <w:tr w:rsidR="00C316AC" w:rsidRPr="00C316AC" w14:paraId="497288C6" w14:textId="77777777" w:rsidTr="00C316AC">
        <w:tc>
          <w:tcPr>
            <w:tcW w:w="2200" w:type="dxa"/>
          </w:tcPr>
          <w:p w14:paraId="7095975B"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Sunday</w:t>
            </w:r>
          </w:p>
        </w:tc>
        <w:tc>
          <w:tcPr>
            <w:tcW w:w="2200" w:type="dxa"/>
          </w:tcPr>
          <w:p w14:paraId="35DC6131"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15</w:t>
            </w:r>
          </w:p>
        </w:tc>
        <w:tc>
          <w:tcPr>
            <w:tcW w:w="5000" w:type="dxa"/>
          </w:tcPr>
          <w:p w14:paraId="62895443"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0.6</w:t>
            </w:r>
          </w:p>
        </w:tc>
      </w:tr>
      <w:tr w:rsidR="00C316AC" w:rsidRPr="00C316AC" w14:paraId="4EB3D3D7" w14:textId="77777777" w:rsidTr="00C316AC">
        <w:tc>
          <w:tcPr>
            <w:tcW w:w="2200" w:type="dxa"/>
          </w:tcPr>
          <w:p w14:paraId="49F5E620"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Monday</w:t>
            </w:r>
          </w:p>
        </w:tc>
        <w:tc>
          <w:tcPr>
            <w:tcW w:w="2200" w:type="dxa"/>
          </w:tcPr>
          <w:p w14:paraId="798A3D6D"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Mar 16</w:t>
            </w:r>
          </w:p>
        </w:tc>
        <w:tc>
          <w:tcPr>
            <w:tcW w:w="5000" w:type="dxa"/>
          </w:tcPr>
          <w:p w14:paraId="47637CB4"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1.2</w:t>
            </w:r>
          </w:p>
        </w:tc>
      </w:tr>
      <w:tr w:rsidR="00C316AC" w:rsidRPr="00C316AC" w14:paraId="5D5E6AC7" w14:textId="77777777" w:rsidTr="00C316AC">
        <w:tc>
          <w:tcPr>
            <w:tcW w:w="2200" w:type="dxa"/>
          </w:tcPr>
          <w:p w14:paraId="63D2BFC3" w14:textId="77777777" w:rsidR="00C316AC" w:rsidRPr="00C316AC" w:rsidRDefault="00C316AC" w:rsidP="00C316AC">
            <w:pPr>
              <w:spacing w:line="480" w:lineRule="auto"/>
              <w:jc w:val="center"/>
              <w:rPr>
                <w:rFonts w:ascii="Arial Narrow" w:hAnsi="Arial Narrow"/>
              </w:rPr>
            </w:pPr>
          </w:p>
        </w:tc>
        <w:tc>
          <w:tcPr>
            <w:tcW w:w="2200" w:type="dxa"/>
          </w:tcPr>
          <w:p w14:paraId="271381D2"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7-Day Total</w:t>
            </w:r>
          </w:p>
        </w:tc>
        <w:tc>
          <w:tcPr>
            <w:tcW w:w="5000" w:type="dxa"/>
          </w:tcPr>
          <w:p w14:paraId="326810EF" w14:textId="77777777" w:rsidR="00C316AC" w:rsidRPr="00C316AC" w:rsidRDefault="00C316AC" w:rsidP="00C316AC">
            <w:pPr>
              <w:spacing w:line="480" w:lineRule="auto"/>
              <w:jc w:val="center"/>
              <w:rPr>
                <w:rFonts w:ascii="Arial Narrow" w:hAnsi="Arial Narrow"/>
              </w:rPr>
            </w:pPr>
            <w:r w:rsidRPr="00C316AC">
              <w:rPr>
                <w:rFonts w:ascii="Arial Narrow" w:eastAsia="Times New Roman" w:hAnsi="Arial Narrow" w:cs="Times New Roman"/>
              </w:rPr>
              <w:t>27.5</w:t>
            </w:r>
          </w:p>
        </w:tc>
      </w:tr>
    </w:tbl>
    <w:p w14:paraId="5CEA2F3C" w14:textId="77777777" w:rsidR="001465FC" w:rsidRPr="001465FC" w:rsidRDefault="001465FC" w:rsidP="001465FC"/>
    <w:p w14:paraId="6A18AD87" w14:textId="74F7B140" w:rsidR="00C316AC" w:rsidRPr="00D47DAD" w:rsidRDefault="00C316AC" w:rsidP="00D47DAD">
      <w:pPr>
        <w:spacing w:after="0"/>
        <w:rPr>
          <w:rFonts w:ascii="Arial" w:hAnsi="Arial" w:cs="Arial"/>
          <w:i/>
          <w:iCs/>
          <w:sz w:val="22"/>
          <w:szCs w:val="22"/>
        </w:rPr>
      </w:pPr>
      <w:r w:rsidRPr="00D47DAD">
        <w:rPr>
          <w:rFonts w:ascii="Arial" w:hAnsi="Arial" w:cs="Arial"/>
          <w:i/>
          <w:iCs/>
          <w:sz w:val="22"/>
          <w:szCs w:val="22"/>
        </w:rPr>
        <w:t>Forecast Visualization</w:t>
      </w:r>
    </w:p>
    <w:p w14:paraId="4FC605EF" w14:textId="335570D7" w:rsidR="00C316AC" w:rsidRDefault="00640804" w:rsidP="00640804">
      <w:pPr>
        <w:pStyle w:val="BodyText"/>
      </w:pPr>
      <w:r>
        <w:fldChar w:fldCharType="begin"/>
      </w:r>
      <w:r>
        <w:instrText xml:space="preserve"> REF _Ref227597886 \h  \* MERGEFORMAT </w:instrText>
      </w:r>
      <w:r>
        <w:fldChar w:fldCharType="separate"/>
      </w:r>
      <w:r>
        <w:t xml:space="preserve">Figure </w:t>
      </w:r>
      <w:r>
        <w:rPr>
          <w:noProof/>
        </w:rPr>
        <w:t>12</w:t>
      </w:r>
      <w:r>
        <w:fldChar w:fldCharType="end"/>
      </w:r>
      <w:r>
        <w:t xml:space="preserve"> </w:t>
      </w:r>
      <w:r w:rsidR="00C316AC">
        <w:t xml:space="preserve">presents the daily precipitation forecast bar chart for Majuro. The chart shows the day-by-day distribution of expected rainfall, with the daily alert threshold of 50 </w:t>
      </w:r>
      <w:r w:rsidR="00D47DAD">
        <w:t>mm</w:t>
      </w:r>
      <w:r w:rsidR="00C316AC">
        <w:t xml:space="preserve"> indicated by the dashed red line and the 7-day total annotated. The low magnitude of all daily values relative to the alert threshold is clearly visible, with the tallest bar (Saturday, March 14, 8.3 </w:t>
      </w:r>
      <w:r w:rsidR="00D47DAD">
        <w:t>mm</w:t>
      </w:r>
      <w:r w:rsidR="00C316AC">
        <w:t>) reaching only 17 percent of the alert level.</w:t>
      </w:r>
    </w:p>
    <w:p w14:paraId="4C23B3F3" w14:textId="77777777" w:rsidR="00D47DAD" w:rsidRDefault="00C316AC" w:rsidP="00D47DAD">
      <w:pPr>
        <w:keepNext/>
        <w:spacing w:before="160" w:after="60"/>
        <w:jc w:val="center"/>
      </w:pPr>
      <w:r>
        <w:rPr>
          <w:noProof/>
        </w:rPr>
        <w:lastRenderedPageBreak/>
        <w:drawing>
          <wp:inline distT="0" distB="0" distL="0" distR="0" wp14:anchorId="7F515759" wp14:editId="6E90DD73">
            <wp:extent cx="5524500" cy="2952750"/>
            <wp:effectExtent l="0" t="0" r="0" b="0"/>
            <wp:docPr id="1" name="Majuro 7-Day Forecast" descr="Bar chart of GFS precipitation forecast for Majuro with alert threshold and daily value labels." title="Majuro 7-Day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5524500" cy="2952750"/>
                    </a:xfrm>
                    <a:prstGeom prst="rect">
                      <a:avLst/>
                    </a:prstGeom>
                  </pic:spPr>
                </pic:pic>
              </a:graphicData>
            </a:graphic>
          </wp:inline>
        </w:drawing>
      </w:r>
    </w:p>
    <w:p w14:paraId="4A0E8F64" w14:textId="2BA89BFC" w:rsidR="007C4D35" w:rsidRDefault="00D47DAD" w:rsidP="007C4D35">
      <w:pPr>
        <w:pStyle w:val="Caption"/>
      </w:pPr>
      <w:bookmarkStart w:id="73" w:name="_Ref227597886"/>
      <w:bookmarkStart w:id="74" w:name="_Toc228286451"/>
      <w:r>
        <w:t xml:space="preserve">Figure </w:t>
      </w:r>
      <w:r>
        <w:fldChar w:fldCharType="begin"/>
      </w:r>
      <w:r>
        <w:instrText xml:space="preserve"> SEQ Figure \* ARABIC </w:instrText>
      </w:r>
      <w:r>
        <w:fldChar w:fldCharType="separate"/>
      </w:r>
      <w:r w:rsidR="002614BE">
        <w:rPr>
          <w:noProof/>
        </w:rPr>
        <w:t>12</w:t>
      </w:r>
      <w:r>
        <w:fldChar w:fldCharType="end"/>
      </w:r>
      <w:bookmarkEnd w:id="73"/>
      <w:r>
        <w:t xml:space="preserve">. </w:t>
      </w:r>
      <w:r w:rsidRPr="0031632A">
        <w:t xml:space="preserve">GFS 7-day precipitation forecast bar chart for Majuro, March 10–16, 2026. Numbers </w:t>
      </w:r>
      <w:proofErr w:type="gramStart"/>
      <w:r w:rsidRPr="0031632A">
        <w:t>above bars</w:t>
      </w:r>
      <w:proofErr w:type="gramEnd"/>
      <w:r w:rsidRPr="0031632A">
        <w:t xml:space="preserve"> indicate daily accumulated precipitation in millimeters. The dashed red line indicates the 50-</w:t>
      </w:r>
      <w:r w:rsidR="007C4D35">
        <w:t>mm</w:t>
      </w:r>
      <w:r w:rsidRPr="0031632A">
        <w:t xml:space="preserve"> daily alert threshold.</w:t>
      </w:r>
      <w:bookmarkEnd w:id="74"/>
    </w:p>
    <w:p w14:paraId="524DBC0D" w14:textId="77777777" w:rsidR="00640804" w:rsidRDefault="00640804" w:rsidP="00855D07">
      <w:pPr>
        <w:ind w:firstLine="720"/>
        <w:rPr>
          <w:rFonts w:eastAsia="Times New Roman" w:cs="Times New Roman"/>
        </w:rPr>
      </w:pPr>
    </w:p>
    <w:p w14:paraId="017557E6" w14:textId="64C41B07" w:rsidR="00877AE3" w:rsidRPr="00877AE3" w:rsidRDefault="00877AE3" w:rsidP="00855D07">
      <w:pPr>
        <w:ind w:firstLine="720"/>
        <w:rPr>
          <w:rFonts w:eastAsia="Times New Roman" w:cs="Times New Roman"/>
        </w:rPr>
      </w:pPr>
      <w:r w:rsidRPr="00877AE3">
        <w:rPr>
          <w:rFonts w:eastAsia="Times New Roman" w:cs="Times New Roman"/>
        </w:rPr>
        <w:t xml:space="preserve">The demonstration forecast for March 10–16, 2026 produced a 7-day total of 27.5 </w:t>
      </w:r>
      <w:r w:rsidR="00855D07">
        <w:rPr>
          <w:rFonts w:eastAsia="Times New Roman" w:cs="Times New Roman"/>
        </w:rPr>
        <w:t>mm</w:t>
      </w:r>
      <w:r w:rsidRPr="00877AE3">
        <w:rPr>
          <w:rFonts w:eastAsia="Times New Roman" w:cs="Times New Roman"/>
        </w:rPr>
        <w:t xml:space="preserve"> at Majuro</w:t>
      </w:r>
      <w:r w:rsidR="00855D07">
        <w:rPr>
          <w:rFonts w:eastAsia="Times New Roman" w:cs="Times New Roman"/>
        </w:rPr>
        <w:t xml:space="preserve">, </w:t>
      </w:r>
      <w:r w:rsidRPr="00877AE3">
        <w:rPr>
          <w:rFonts w:eastAsia="Times New Roman" w:cs="Times New Roman"/>
        </w:rPr>
        <w:t xml:space="preserve">the </w:t>
      </w:r>
      <w:proofErr w:type="gramStart"/>
      <w:r w:rsidRPr="00877AE3">
        <w:rPr>
          <w:rFonts w:eastAsia="Times New Roman" w:cs="Times New Roman"/>
        </w:rPr>
        <w:t>second-lowest</w:t>
      </w:r>
      <w:proofErr w:type="gramEnd"/>
      <w:r w:rsidRPr="00877AE3">
        <w:rPr>
          <w:rFonts w:eastAsia="Times New Roman" w:cs="Times New Roman"/>
        </w:rPr>
        <w:t xml:space="preserve"> among all nine monitoring locations, exceeded only by Nauru at 24.6 </w:t>
      </w:r>
      <w:r w:rsidR="00855D07">
        <w:rPr>
          <w:rFonts w:eastAsia="Times New Roman" w:cs="Times New Roman"/>
        </w:rPr>
        <w:t>mm</w:t>
      </w:r>
      <w:r w:rsidRPr="00877AE3">
        <w:rPr>
          <w:rFonts w:eastAsia="Times New Roman" w:cs="Times New Roman"/>
        </w:rPr>
        <w:t xml:space="preserve">. If sustained over the full month, this pace would yield approximately 122 </w:t>
      </w:r>
      <w:r w:rsidR="00855D07">
        <w:rPr>
          <w:rFonts w:eastAsia="Times New Roman" w:cs="Times New Roman"/>
        </w:rPr>
        <w:t>mm</w:t>
      </w:r>
      <w:r w:rsidRPr="00877AE3">
        <w:rPr>
          <w:rFonts w:eastAsia="Times New Roman" w:cs="Times New Roman"/>
        </w:rPr>
        <w:t xml:space="preserve">, falling below the PEAC 8-inch (203.2 </w:t>
      </w:r>
      <w:r w:rsidR="00855D07">
        <w:rPr>
          <w:rFonts w:eastAsia="Times New Roman" w:cs="Times New Roman"/>
        </w:rPr>
        <w:t>mm</w:t>
      </w:r>
      <w:r w:rsidRPr="00877AE3">
        <w:rPr>
          <w:rFonts w:eastAsia="Times New Roman" w:cs="Times New Roman"/>
        </w:rPr>
        <w:t xml:space="preserve">) threshold that the companion drought monitoring volume identified as the level needed for adequate catchment replenishment. March falls within Majuro's dry season when monthly median precipitation (180 </w:t>
      </w:r>
      <w:r w:rsidR="00855D07">
        <w:rPr>
          <w:rFonts w:eastAsia="Times New Roman" w:cs="Times New Roman"/>
        </w:rPr>
        <w:t>mm</w:t>
      </w:r>
      <w:r w:rsidRPr="00877AE3">
        <w:rPr>
          <w:rFonts w:eastAsia="Times New Roman" w:cs="Times New Roman"/>
        </w:rPr>
        <w:t>) is itself below this threshold, meaning that even under normal conditions, March rainfall is marginal for water supply adequacy. The low forecast total provides water managers with a near-term signal that significant rainfall is not expected during this period, reinforcing the need for continued conservation measures.</w:t>
      </w:r>
    </w:p>
    <w:p w14:paraId="0DB9B254" w14:textId="77777777" w:rsidR="00877AE3" w:rsidRPr="00877AE3" w:rsidRDefault="00877AE3" w:rsidP="00877AE3">
      <w:pPr>
        <w:rPr>
          <w:rFonts w:eastAsia="Times New Roman" w:cs="Times New Roman"/>
        </w:rPr>
      </w:pPr>
    </w:p>
    <w:p w14:paraId="180CB4C8" w14:textId="0CF949C8" w:rsidR="003668BD" w:rsidRPr="00B759B5" w:rsidRDefault="00877AE3" w:rsidP="00855D07">
      <w:pPr>
        <w:ind w:firstLine="720"/>
      </w:pPr>
      <w:r w:rsidRPr="00877AE3">
        <w:rPr>
          <w:rFonts w:eastAsia="Times New Roman" w:cs="Times New Roman"/>
        </w:rPr>
        <w:lastRenderedPageBreak/>
        <w:t xml:space="preserve">The companion drought monitoring volume documented that Majuro experienced 36 PEAC-Red months (11 percent) and 74 PEAC-Yellow months (24 percent) across the 314-month record, and the relatively low Majuro forecast is consistent with its dry-season climatology compared to the FSM sites (43.2–64.5 </w:t>
      </w:r>
      <w:r w:rsidR="009A2179">
        <w:rPr>
          <w:rFonts w:eastAsia="Times New Roman" w:cs="Times New Roman"/>
        </w:rPr>
        <w:t>mm</w:t>
      </w:r>
      <w:r w:rsidRPr="00877AE3">
        <w:rPr>
          <w:rFonts w:eastAsia="Times New Roman" w:cs="Times New Roman"/>
        </w:rPr>
        <w:t xml:space="preserve">) and Solomon Islands sites (50.7 </w:t>
      </w:r>
      <w:r w:rsidR="009A2179">
        <w:rPr>
          <w:rFonts w:eastAsia="Times New Roman" w:cs="Times New Roman"/>
        </w:rPr>
        <w:t>m</w:t>
      </w:r>
      <w:r w:rsidRPr="00877AE3">
        <w:rPr>
          <w:rFonts w:eastAsia="Times New Roman" w:cs="Times New Roman"/>
        </w:rPr>
        <w:t>), where March coincides with wetter seasonal conditions. Users should note that the GFS 0.25° resolution does not resolve Majuro's narrow atoll islets, and the forecast represents an average over the encompassing oceanic grid cell rather than a land-based estimate, meaning that localized convective rainfall events may not be captured. Despite this limitation, the forecast provides useful near-term guidance that was not previously available for Majuro's water supply managers and is most effective when interpreted alongside the longer-term drought monitoring context.</w:t>
      </w:r>
    </w:p>
    <w:p w14:paraId="6E96113E" w14:textId="272AAE90" w:rsidR="004B5462" w:rsidRDefault="00077CF2" w:rsidP="00C0199C">
      <w:pPr>
        <w:pStyle w:val="Head3"/>
        <w:tabs>
          <w:tab w:val="center" w:pos="4680"/>
        </w:tabs>
      </w:pPr>
      <w:bookmarkStart w:id="75" w:name="_Toc227693255"/>
      <w:r>
        <w:t>Seis</w:t>
      </w:r>
      <w:r w:rsidR="00C414CB">
        <w:t>micity</w:t>
      </w:r>
      <w:bookmarkEnd w:id="75"/>
      <w:r w:rsidR="00C0199C">
        <w:tab/>
      </w:r>
    </w:p>
    <w:p w14:paraId="03E10B50" w14:textId="455F746E" w:rsidR="00972614" w:rsidRDefault="00C96114" w:rsidP="00993324">
      <w:pPr>
        <w:pStyle w:val="BodyText"/>
      </w:pPr>
      <w:r w:rsidRPr="00C96114">
        <w:t>The Republic of the Marshall Islands (RMI) lies in the interior of the Pacific Plate, far from any active plate boundaries, which greatly limits local earthquake occurrence and direct seismic hazard to the atolls. Regional geologic syntheses and USGS plate</w:t>
      </w:r>
      <w:r w:rsidRPr="00C96114">
        <w:noBreakHyphen/>
        <w:t>boundary mapping place the Marshalls well within the oceanic plate interior, away from convergent, divergent, or transform margins that generate most damaging earthquakes and volcanism across the Pacific Basin</w:t>
      </w:r>
      <w:r w:rsidR="009E6333">
        <w:t xml:space="preserve"> (</w:t>
      </w:r>
      <w:r w:rsidR="00552AE2">
        <w:t>Bird, 2003; Barbee and others,</w:t>
      </w:r>
      <w:r w:rsidR="00622888">
        <w:t xml:space="preserve"> 2020</w:t>
      </w:r>
      <w:r w:rsidR="009E6333">
        <w:t>)</w:t>
      </w:r>
      <w:r w:rsidRPr="00C96114">
        <w:t>. As a result, earthquakes are not a primary on</w:t>
      </w:r>
      <w:r w:rsidRPr="00C96114">
        <w:noBreakHyphen/>
        <w:t>island hazard for the RMI; rather, the main geophysical risk arises from distant</w:t>
      </w:r>
      <w:r w:rsidRPr="00C96114">
        <w:noBreakHyphen/>
        <w:t>source earthquakes around the Pacific Rim that can generate trans</w:t>
      </w:r>
      <w:r w:rsidRPr="00C96114">
        <w:noBreakHyphen/>
        <w:t>Pacific tsunamis capable of reaching the Marshalls hours after the initial event. Operationally, the RMI receives tsunami services from NOAA’s Pacific Tsunami Warning Center (PTWC) under the IOC</w:t>
      </w:r>
      <w:r w:rsidRPr="00C96114">
        <w:noBreakHyphen/>
        <w:t xml:space="preserve">UNESCO Pacific Tsunami Warning and Mitigation System </w:t>
      </w:r>
      <w:r w:rsidRPr="00C222A2">
        <w:t>(PTWS), which provides real</w:t>
      </w:r>
      <w:r w:rsidRPr="00C222A2">
        <w:noBreakHyphen/>
        <w:t xml:space="preserve">time monitoring, forecasting, and message dissemination for </w:t>
      </w:r>
      <w:proofErr w:type="gramStart"/>
      <w:r w:rsidRPr="00C222A2">
        <w:t>Pacific island</w:t>
      </w:r>
      <w:proofErr w:type="gramEnd"/>
      <w:r w:rsidRPr="00C222A2">
        <w:t xml:space="preserve"> states and territories</w:t>
      </w:r>
      <w:r w:rsidR="009E6333">
        <w:t xml:space="preserve"> (</w:t>
      </w:r>
      <w:r w:rsidR="00622888" w:rsidRPr="00622888">
        <w:t xml:space="preserve">International Tsunami </w:t>
      </w:r>
      <w:r w:rsidR="00622888" w:rsidRPr="00622888">
        <w:lastRenderedPageBreak/>
        <w:t>Information Center (ITIC), 2020</w:t>
      </w:r>
      <w:r w:rsidR="00622888">
        <w:t xml:space="preserve">; </w:t>
      </w:r>
      <w:proofErr w:type="spellStart"/>
      <w:r w:rsidR="00622888" w:rsidRPr="00622888">
        <w:t>QuakeFYI</w:t>
      </w:r>
      <w:proofErr w:type="spellEnd"/>
      <w:r w:rsidR="00622888" w:rsidRPr="00622888">
        <w:t>, 2026</w:t>
      </w:r>
      <w:r w:rsidR="009E6333">
        <w:t>)</w:t>
      </w:r>
      <w:r w:rsidRPr="00C222A2">
        <w:t>.</w:t>
      </w:r>
      <w:r w:rsidR="00C222A2" w:rsidRPr="00C222A2">
        <w:t xml:space="preserve"> While tectonic setting minimizes local seismic threat, the RMI’s physical geography—low elevation, narrow islets, and broad ocean exposure—means distant earthquakes and their tsunamis remain a serious hazard. The country’s reliance on robust warning systems, clear evacuation pathways, and continued investment in coastal resilience is therefore essential to protect communities given the compounding effects of sea</w:t>
      </w:r>
      <w:r w:rsidR="00C222A2" w:rsidRPr="00C222A2">
        <w:noBreakHyphen/>
        <w:t>level rise on future inundation risk.</w:t>
      </w:r>
    </w:p>
    <w:p w14:paraId="4C2FBD55" w14:textId="77777777" w:rsidR="00993324" w:rsidRDefault="00993324" w:rsidP="00993324">
      <w:pPr>
        <w:pStyle w:val="BodyText"/>
      </w:pPr>
    </w:p>
    <w:p w14:paraId="6F983735" w14:textId="125938B4" w:rsidR="00772210" w:rsidRDefault="00772210" w:rsidP="00EF7D1B">
      <w:pPr>
        <w:pStyle w:val="Head1"/>
      </w:pPr>
      <w:bookmarkStart w:id="76" w:name="_Toc227693256"/>
      <w:r w:rsidRPr="006D5C16">
        <w:t>Discussion</w:t>
      </w:r>
      <w:bookmarkEnd w:id="76"/>
    </w:p>
    <w:p w14:paraId="6A524EC4" w14:textId="49391B06" w:rsidR="00C85E1A" w:rsidRPr="00C85E1A" w:rsidRDefault="00C85E1A" w:rsidP="00C85E1A">
      <w:pPr>
        <w:pStyle w:val="BodyText"/>
      </w:pPr>
      <w:r w:rsidRPr="00C85E1A">
        <w:t>The analyses presented in this volume provide a comprehensive assessment of precipitation, evapotranspiration, water‑balance dynamics, drought patterns, and short‑term precipitation forecasts for Majuro Atoll</w:t>
      </w:r>
      <w:r>
        <w:t xml:space="preserve">, </w:t>
      </w:r>
      <w:r w:rsidRPr="00C85E1A">
        <w:t>an environment where freshwater availability is both highly variable and critically important. Together, these datasets illustrate the central hydrologic challenge that Majuro faces: a complete dependence on rainfall in the absence of rivers, high‑elevation catchments, or meaningful surface‑water storage. As a result, even small departures from typical rainfall can have immediate implications for water security.</w:t>
      </w:r>
    </w:p>
    <w:p w14:paraId="72A4B63A" w14:textId="49D058CE" w:rsidR="00C85E1A" w:rsidRPr="00C85E1A" w:rsidRDefault="00C85E1A" w:rsidP="00C85E1A">
      <w:pPr>
        <w:pStyle w:val="BodyText"/>
      </w:pPr>
      <w:r w:rsidRPr="00C85E1A">
        <w:t>Across multiple lines of evidence, precipitation emerges as the dominant driver of hydrologic variability on Majuro. Both the IMERG long‑term record and the drought‑monitoring indices highlight a system characterized by large seasonal and interannual swings linked to ENSO. Dry‑season months routinely fall below the thresholds needed to sustain household and municipal rainwater collection systems, while the most pronounced droughts</w:t>
      </w:r>
      <w:r w:rsidR="005431FE">
        <w:t xml:space="preserve">, </w:t>
      </w:r>
      <w:r w:rsidRPr="00C85E1A">
        <w:t>such as the 2015–2016 event</w:t>
      </w:r>
      <w:r w:rsidR="005431FE">
        <w:t xml:space="preserve"> are </w:t>
      </w:r>
      <w:r w:rsidRPr="00C85E1A">
        <w:t>represent</w:t>
      </w:r>
      <w:r w:rsidR="005431FE">
        <w:t>ing</w:t>
      </w:r>
      <w:r w:rsidRPr="00C85E1A">
        <w:t xml:space="preserve"> multi‑month failures of the normal rainfall regime. These characteristics reinforce that Majuro’s baseline climatology already operates near the margin of </w:t>
      </w:r>
      <w:r w:rsidRPr="00C85E1A">
        <w:lastRenderedPageBreak/>
        <w:t>adequate water supply, and that ENSO‑related droughts push the system well beyond its natural resilience.</w:t>
      </w:r>
    </w:p>
    <w:p w14:paraId="33EFC708" w14:textId="77777777" w:rsidR="00C85E1A" w:rsidRPr="00C85E1A" w:rsidRDefault="00C85E1A" w:rsidP="00C85E1A">
      <w:pPr>
        <w:pStyle w:val="BodyText"/>
      </w:pPr>
      <w:r w:rsidRPr="00C85E1A">
        <w:t>In contrast, actual evapotranspiration exhibits relatively limited seasonal and interannual variability. The stability of ET, paired with the high volatility of rainfall, means that reductions in precipitation are not offset by corresponding decreases in atmospheric water loss. ET continues at near‑normal rates even during extended dry periods, accelerating the depletion of freshwater lenses and reducing the effectiveness of catchment systems. This mismatch between variable rainfall input and steady water loss underscores Majuro’s vulnerability to rapid water‑balance deficits.</w:t>
      </w:r>
    </w:p>
    <w:p w14:paraId="10B35068" w14:textId="77777777" w:rsidR="00C85E1A" w:rsidRPr="00C85E1A" w:rsidRDefault="00C85E1A" w:rsidP="00C85E1A">
      <w:pPr>
        <w:pStyle w:val="BodyText"/>
      </w:pPr>
      <w:r w:rsidRPr="00C85E1A">
        <w:t xml:space="preserve">The water‑balance calculations further show that net monthly water availability fluctuates widely, with sharp negative values during dry‑season months and robust surpluses during wetter periods. At the annual scale, ENSO remains a defining influence: wet years generate large surpluses, whereas drought years can produce </w:t>
      </w:r>
      <w:proofErr w:type="gramStart"/>
      <w:r w:rsidRPr="00C85E1A">
        <w:t>balances low</w:t>
      </w:r>
      <w:proofErr w:type="gramEnd"/>
      <w:r w:rsidRPr="00C85E1A">
        <w:t xml:space="preserve"> enough to require emergency conservation, rationing, or increased reliance on desalination. Majuro’s lack of natural buffering capacity magnifies these extremes—making accurate monitoring essential to resource planning.</w:t>
      </w:r>
    </w:p>
    <w:p w14:paraId="4A2058BB" w14:textId="77777777" w:rsidR="00C85E1A" w:rsidRPr="00C85E1A" w:rsidRDefault="00C85E1A" w:rsidP="00C85E1A">
      <w:pPr>
        <w:pStyle w:val="BodyText"/>
      </w:pPr>
      <w:r w:rsidRPr="00C85E1A">
        <w:t xml:space="preserve">The multi‑timescale drought indices provide an additional operational perspective. They reveal that many “single‑month” dry anomalies are </w:t>
      </w:r>
      <w:proofErr w:type="gramStart"/>
      <w:r w:rsidRPr="00C85E1A">
        <w:t>actually components</w:t>
      </w:r>
      <w:proofErr w:type="gramEnd"/>
      <w:r w:rsidRPr="00C85E1A">
        <w:t xml:space="preserve"> of longer cumulative deficits not immediately apparent from monthly totals alone. This is especially important for water managers, as sustained 3‑ to 6‑month deficits can erode stored supplies even when individual months do not appear unusually dry. The high frequency of PEAC‑Yellow and PEAC‑Red classifications, particularly during the dry season, indicates that low‑rainfall conditions are not exceptional events but regular, predictable challenges that the water‑supply system must be built to withstand.</w:t>
      </w:r>
    </w:p>
    <w:p w14:paraId="1249C426" w14:textId="77777777" w:rsidR="00C85E1A" w:rsidRDefault="00C85E1A" w:rsidP="00C85E1A">
      <w:pPr>
        <w:pStyle w:val="BodyText"/>
        <w:rPr>
          <w:b/>
        </w:rPr>
      </w:pPr>
      <w:r w:rsidRPr="00C85E1A">
        <w:lastRenderedPageBreak/>
        <w:t>Finally, the automated 7‑day forecasting system offers a forward‑looking component that complements the long‑term monitoring datasets. The forecast example demonstrates that near‑real‑time precipitation outlooks can strengthen operational decision‑making by identifying upcoming periods of low rainfall, particularly during the dry season when water resources are already under stress. Although spatial resolution limits the precision of forecasts for a narrow atoll, these products still provide valuable short‑term guidance and fill a gap in existing monitoring capabilities.</w:t>
      </w:r>
    </w:p>
    <w:p w14:paraId="28775130" w14:textId="490CFCC4" w:rsidR="00C85E1A" w:rsidRDefault="00C85E1A" w:rsidP="00C85E1A">
      <w:pPr>
        <w:pStyle w:val="BodyText"/>
        <w:rPr>
          <w:b/>
        </w:rPr>
      </w:pPr>
      <w:r w:rsidRPr="00C85E1A">
        <w:t xml:space="preserve">Overall, the combined results emphasize that Majuro’s water‑resource vulnerability stems from the intersection of highly variable rainfall, stable atmospheric demand, minimal natural storage, and near‑total dependence on catchment systems. Improving water security will require continued investment in robust monitoring tools, expanded storage capacity, drought‑response planning, and sustained collaboration among local agencies, the USGS, and regional partners. The datasets and methods developed in this volume are intended to support these efforts by providing consistent, actionable information to help anticipate, prepare for, and respond to hydrologic stress on Majuro Atoll. </w:t>
      </w:r>
    </w:p>
    <w:p w14:paraId="3786DCE2" w14:textId="7BE5583F" w:rsidR="00CA402A" w:rsidRDefault="00CA402A" w:rsidP="00C85E1A">
      <w:pPr>
        <w:pStyle w:val="Head1"/>
      </w:pPr>
      <w:bookmarkStart w:id="77" w:name="_Toc227693257"/>
      <w:r>
        <w:t>Conclusion</w:t>
      </w:r>
      <w:bookmarkEnd w:id="77"/>
    </w:p>
    <w:p w14:paraId="68F50A1D" w14:textId="77777777" w:rsidR="00DF6521" w:rsidRPr="00DF6521" w:rsidRDefault="00DF6521" w:rsidP="00DF6521">
      <w:pPr>
        <w:pStyle w:val="BodyText"/>
      </w:pPr>
      <w:r w:rsidRPr="00DF6521">
        <w:t>Majuro’s water resources are shaped by highly variable rainfall, steady evapotranspiration, and minimal natural storage, making the atoll extremely sensitive to seasonal dry periods and ENSO</w:t>
      </w:r>
      <w:r w:rsidRPr="00DF6521">
        <w:noBreakHyphen/>
        <w:t>driven droughts. The satellite</w:t>
      </w:r>
      <w:r w:rsidRPr="00DF6521">
        <w:noBreakHyphen/>
        <w:t>based precipitation, evapotranspiration, water</w:t>
      </w:r>
      <w:r w:rsidRPr="00DF6521">
        <w:noBreakHyphen/>
        <w:t>balance, drought</w:t>
      </w:r>
      <w:r w:rsidRPr="00DF6521">
        <w:noBreakHyphen/>
        <w:t>monitoring, and forecasting datasets presented here provide reliable, consistent tools to understand these conditions and support water</w:t>
      </w:r>
      <w:r w:rsidRPr="00DF6521">
        <w:noBreakHyphen/>
        <w:t xml:space="preserve">supply planning. Together, they highlight the need for continued monitoring, expanded storage capacity, and proactive </w:t>
      </w:r>
      <w:r w:rsidRPr="00DF6521">
        <w:lastRenderedPageBreak/>
        <w:t>drought</w:t>
      </w:r>
      <w:r w:rsidRPr="00DF6521">
        <w:noBreakHyphen/>
        <w:t>preparedness measures to strengthen long</w:t>
      </w:r>
      <w:r w:rsidRPr="00DF6521">
        <w:noBreakHyphen/>
        <w:t>term water security for the Republic of the Marshall Islands.</w:t>
      </w:r>
    </w:p>
    <w:p w14:paraId="7FA5DADE" w14:textId="77777777" w:rsidR="00CA402A" w:rsidRDefault="00CA402A" w:rsidP="00CA402A">
      <w:pPr>
        <w:pStyle w:val="BodyText"/>
        <w:ind w:firstLine="0"/>
      </w:pPr>
    </w:p>
    <w:p w14:paraId="3A1FCCB1" w14:textId="77777777" w:rsidR="00DA6B7A" w:rsidRDefault="00DA6B7A" w:rsidP="00DA6B7A">
      <w:pPr>
        <w:pStyle w:val="RefHeadBack"/>
      </w:pPr>
      <w:bookmarkStart w:id="78" w:name="_Toc507583996"/>
      <w:bookmarkStart w:id="79" w:name="_Toc507584050"/>
      <w:bookmarkStart w:id="80" w:name="_Toc531073723"/>
      <w:bookmarkStart w:id="81" w:name="_Toc227693258"/>
      <w:r>
        <w:t>References Cited</w:t>
      </w:r>
      <w:bookmarkEnd w:id="78"/>
      <w:bookmarkEnd w:id="79"/>
      <w:bookmarkEnd w:id="80"/>
      <w:bookmarkEnd w:id="81"/>
    </w:p>
    <w:bookmarkEnd w:id="3"/>
    <w:bookmarkEnd w:id="4"/>
    <w:p w14:paraId="1FFB14B1" w14:textId="77777777" w:rsidR="00AF5C0B" w:rsidRDefault="00AF5C0B" w:rsidP="00852963">
      <w:pPr>
        <w:pStyle w:val="Reference"/>
      </w:pPr>
      <w:r>
        <w:t xml:space="preserve">ADB, 1965, </w:t>
      </w:r>
      <w:r w:rsidRPr="007768DE">
        <w:t xml:space="preserve">Agreement establishing the Asian Development Bank signed at Manila, Dec. 4, 1965; entered into force Aug. 22, 1966, United Nations Treaty Series, vol. 608, p. 380. </w:t>
      </w:r>
      <w:r>
        <w:t xml:space="preserve">Available at: </w:t>
      </w:r>
      <w:hyperlink r:id="rId23" w:history="1">
        <w:r w:rsidRPr="00784DB2">
          <w:rPr>
            <w:rStyle w:val="Hyperlink"/>
          </w:rPr>
          <w:t>Agreement Establishing the Asian Development Bank (ADB Charter)</w:t>
        </w:r>
      </w:hyperlink>
      <w:r>
        <w:t>. Accessed 29 January 2026.</w:t>
      </w:r>
    </w:p>
    <w:p w14:paraId="6590FBBF" w14:textId="0814CB22" w:rsidR="009C1FD4" w:rsidRDefault="009C1FD4" w:rsidP="00852963">
      <w:pPr>
        <w:pStyle w:val="Reference"/>
      </w:pPr>
      <w:r w:rsidRPr="00F53741">
        <w:t xml:space="preserve">Anthony, S.S., Peterson, F.L., MacKenzie, F.T., and Hamlin, S.N., 1989, </w:t>
      </w:r>
      <w:r w:rsidRPr="00F53741">
        <w:rPr>
          <w:i/>
          <w:iCs/>
        </w:rPr>
        <w:t>Geohydrology of the Laura fresh</w:t>
      </w:r>
      <w:r w:rsidRPr="00F53741">
        <w:rPr>
          <w:i/>
          <w:iCs/>
        </w:rPr>
        <w:noBreakHyphen/>
        <w:t>water lens, Majuro Atoll: A hydrogeochemical approach</w:t>
      </w:r>
      <w:r w:rsidRPr="00F53741">
        <w:t xml:space="preserve">: U.S. Geological Survey Bulletin 101, no. 8, p. 1066–1075, </w:t>
      </w:r>
      <w:hyperlink r:id="rId24" w:history="1">
        <w:r w:rsidR="00355A0F" w:rsidRPr="00B869ED">
          <w:rPr>
            <w:rStyle w:val="Hyperlink"/>
          </w:rPr>
          <w:t>https://doi.org/10.1130/0016-7606(1989)101&lt;1066:GOTLFW&gt;2.3.CO;2</w:t>
        </w:r>
      </w:hyperlink>
      <w:r w:rsidRPr="00F53741">
        <w:t>.</w:t>
      </w:r>
    </w:p>
    <w:p w14:paraId="0315AA26" w14:textId="77777777" w:rsidR="00355A0F" w:rsidRPr="00C03E7B" w:rsidRDefault="00355A0F" w:rsidP="00852963">
      <w:pPr>
        <w:pStyle w:val="Reference"/>
      </w:pPr>
      <w:r w:rsidRPr="00C03E7B">
        <w:t xml:space="preserve">Bird, P., 2003, </w:t>
      </w:r>
      <w:r w:rsidRPr="00C03E7B">
        <w:rPr>
          <w:i/>
          <w:iCs/>
        </w:rPr>
        <w:t>Plate boundaries: A digital model of tectonic plate boundaries</w:t>
      </w:r>
      <w:r w:rsidRPr="00C03E7B">
        <w:t xml:space="preserve">, in USGS Earthquake Hazards Program, accessed April 2026, at https://earthquake.usgs.gov/arcgis/rest/services/eq/map_plateboundaries/MapServer </w:t>
      </w:r>
    </w:p>
    <w:p w14:paraId="712D32E4" w14:textId="77777777" w:rsidR="00355A0F" w:rsidRPr="00C03E7B" w:rsidRDefault="00355A0F" w:rsidP="00852963">
      <w:pPr>
        <w:pStyle w:val="Reference"/>
      </w:pPr>
      <w:r w:rsidRPr="00C03E7B">
        <w:t xml:space="preserve">Barbee, M.M., Gesch, D.B., Danielson, J.J., Fletcher, C.A., </w:t>
      </w:r>
      <w:proofErr w:type="spellStart"/>
      <w:r w:rsidRPr="00C03E7B">
        <w:t>Kottermair</w:t>
      </w:r>
      <w:proofErr w:type="spellEnd"/>
      <w:r w:rsidRPr="00C03E7B">
        <w:t>, M., Palaseanu</w:t>
      </w:r>
      <w:r w:rsidRPr="00C03E7B">
        <w:noBreakHyphen/>
        <w:t xml:space="preserve">Lovejoy, M., and Jalandoni, A., 2020, </w:t>
      </w:r>
      <w:r w:rsidRPr="00C03E7B">
        <w:rPr>
          <w:i/>
          <w:iCs/>
        </w:rPr>
        <w:t>Inundation Exposure Assessment for Majuro Atoll, Republic of the Marshall Islands, Using a High</w:t>
      </w:r>
      <w:r w:rsidRPr="00C03E7B">
        <w:rPr>
          <w:i/>
          <w:iCs/>
        </w:rPr>
        <w:noBreakHyphen/>
        <w:t>Accuracy Digital Elevation Model</w:t>
      </w:r>
      <w:r w:rsidRPr="00C03E7B">
        <w:t xml:space="preserve">: Remote Sensing, v. 12, no. 1, p. 154, https://doi.org/10.3390/rs12010154 </w:t>
      </w:r>
    </w:p>
    <w:p w14:paraId="4F2AC40D" w14:textId="77777777" w:rsidR="009C1FD4" w:rsidRPr="00463E35" w:rsidRDefault="009C1FD4" w:rsidP="00852963">
      <w:pPr>
        <w:pStyle w:val="Reference"/>
      </w:pPr>
      <w:r w:rsidRPr="00463E35">
        <w:t xml:space="preserve">DeJonge, K.C., Allen, R.G., Kilic, A., Thorp, K.R., Kukal, M., Marek, G., Altenhofen, J., Amatya, D.M., </w:t>
      </w:r>
      <w:proofErr w:type="spellStart"/>
      <w:r w:rsidRPr="00463E35">
        <w:t>Blankenau</w:t>
      </w:r>
      <w:proofErr w:type="spellEnd"/>
      <w:r w:rsidRPr="00463E35">
        <w:t xml:space="preserve">, P., Datta, S., Grabow, G., Hashem, A., </w:t>
      </w:r>
      <w:proofErr w:type="spellStart"/>
      <w:r w:rsidRPr="00463E35">
        <w:t>Kisekka</w:t>
      </w:r>
      <w:proofErr w:type="spellEnd"/>
      <w:r w:rsidRPr="00463E35">
        <w:t xml:space="preserve">, I., Kjaersgaard, J., Marek, T., Peters, T., Porter, D., Reba, M., Rudnick, D., Senay, G., Sharma, V., Sridhar, V., </w:t>
      </w:r>
      <w:r w:rsidRPr="00463E35">
        <w:lastRenderedPageBreak/>
        <w:t xml:space="preserve">Sun, G., </w:t>
      </w:r>
      <w:proofErr w:type="spellStart"/>
      <w:r w:rsidRPr="00463E35">
        <w:t>Taghvaeian</w:t>
      </w:r>
      <w:proofErr w:type="spellEnd"/>
      <w:r w:rsidRPr="00463E35">
        <w:t xml:space="preserve">, S., Trezza, R., and Trout, T., 2025, </w:t>
      </w:r>
      <w:r w:rsidRPr="00463E35">
        <w:rPr>
          <w:i/>
          <w:iCs/>
        </w:rPr>
        <w:t>Evapotranspiration terminology and definitions</w:t>
      </w:r>
      <w:r w:rsidRPr="00463E35">
        <w:t>: U.S. Geological Survey Publication, accessed April 11, 2026, at https://www.usgs.gov/publications/evapotranspiration-terminology-and-definitions.</w:t>
      </w:r>
    </w:p>
    <w:p w14:paraId="74E79748" w14:textId="77777777" w:rsidR="009C1FD4" w:rsidRPr="00C057B1" w:rsidRDefault="009C1FD4" w:rsidP="0083586C">
      <w:pPr>
        <w:pStyle w:val="Reference"/>
      </w:pPr>
      <w:proofErr w:type="spellStart"/>
      <w:r w:rsidRPr="00C057B1">
        <w:rPr>
          <w:rFonts w:eastAsia="Times New Roman"/>
        </w:rPr>
        <w:t>Hijmans</w:t>
      </w:r>
      <w:proofErr w:type="spellEnd"/>
      <w:r w:rsidRPr="00C057B1">
        <w:rPr>
          <w:rFonts w:eastAsia="Times New Roman"/>
        </w:rPr>
        <w:t>, R.J., 2024, terra—Spatial data analysis: Comprehensive R Archive Network (CRAN), R package, accessed 2024, at https://CRAN.R-project.org/package=terra.</w:t>
      </w:r>
    </w:p>
    <w:p w14:paraId="3A3BA11E" w14:textId="77777777" w:rsidR="009C1FD4" w:rsidRDefault="009C1FD4" w:rsidP="00852963">
      <w:pPr>
        <w:pStyle w:val="Reference"/>
      </w:pPr>
      <w:r w:rsidRPr="00650225">
        <w:t>Huffman, G.J., E. F. Stocker, D. T. Bolvin, E. J. Nelkin, and J. Tan</w:t>
      </w:r>
      <w:r>
        <w:t xml:space="preserve">, </w:t>
      </w:r>
      <w:r w:rsidRPr="00650225">
        <w:t xml:space="preserve">2019, </w:t>
      </w:r>
      <w:r w:rsidRPr="00650225">
        <w:rPr>
          <w:i/>
          <w:iCs/>
        </w:rPr>
        <w:t>GPM IMERG Final Precipitation L3 1 Day 0.1°×0.1° V07</w:t>
      </w:r>
      <w:r w:rsidRPr="00650225">
        <w:t xml:space="preserve"> (GPM_3IMERGDF), Goddard Earth Sciences Data and Information Services Center (GES DISC), accessed April 10, 2026,</w:t>
      </w:r>
      <w:r>
        <w:t xml:space="preserve"> </w:t>
      </w:r>
      <w:hyperlink r:id="rId25" w:history="1">
        <w:r w:rsidRPr="00485571">
          <w:rPr>
            <w:rStyle w:val="Hyperlink"/>
          </w:rPr>
          <w:t>https://doi.org/10.5067/GPM/IMERGDF/DAY/07</w:t>
        </w:r>
      </w:hyperlink>
    </w:p>
    <w:p w14:paraId="3103F96D" w14:textId="77777777" w:rsidR="00355A0F" w:rsidRDefault="00355A0F" w:rsidP="00852963">
      <w:pPr>
        <w:pStyle w:val="Reference"/>
      </w:pPr>
      <w:r w:rsidRPr="00C03E7B">
        <w:t xml:space="preserve">International Tsunami Information Center (ITIC), 2020, </w:t>
      </w:r>
      <w:r w:rsidRPr="00C03E7B">
        <w:rPr>
          <w:i/>
          <w:iCs/>
        </w:rPr>
        <w:t>Pacific Tsunami Warning and Mitigation System (PTWS) services overview</w:t>
      </w:r>
      <w:r w:rsidRPr="00C03E7B">
        <w:t>, accessed April 15, 2026, at https://legacy.itic.ioc-unesco.org/ …/PTWS Information Sheet (April 2024)</w:t>
      </w:r>
    </w:p>
    <w:p w14:paraId="00459C4B" w14:textId="3B24FBFB" w:rsidR="008A4E3A" w:rsidRDefault="008A4E3A" w:rsidP="00852963">
      <w:pPr>
        <w:pStyle w:val="Reference"/>
      </w:pPr>
      <w:r w:rsidRPr="008A4E3A">
        <w:t xml:space="preserve">Koda, K., 2018, </w:t>
      </w:r>
      <w:r w:rsidRPr="008A4E3A">
        <w:rPr>
          <w:i/>
          <w:iCs/>
        </w:rPr>
        <w:t>Freshwater lens conservation during drought—Case study of the Majuro Atoll in the Republic of the Marshall Islands</w:t>
      </w:r>
      <w:r w:rsidRPr="008A4E3A">
        <w:t xml:space="preserve">: </w:t>
      </w:r>
      <w:r w:rsidRPr="008A4E3A">
        <w:rPr>
          <w:i/>
          <w:iCs/>
        </w:rPr>
        <w:t>Journal of Rainwater Catchment Systems</w:t>
      </w:r>
      <w:r w:rsidRPr="008A4E3A">
        <w:t xml:space="preserve">, v. 24, no. 1, p. 15–21, </w:t>
      </w:r>
      <w:hyperlink r:id="rId26" w:history="1">
        <w:r w:rsidR="00E74BC5" w:rsidRPr="008A4E3A">
          <w:rPr>
            <w:rStyle w:val="Hyperlink"/>
          </w:rPr>
          <w:t>https://doi.org/10.7132/jrcsa.24_1_15</w:t>
        </w:r>
      </w:hyperlink>
      <w:r w:rsidRPr="008A4E3A">
        <w:t>.</w:t>
      </w:r>
    </w:p>
    <w:p w14:paraId="026763D6" w14:textId="77777777" w:rsidR="009C1FD4" w:rsidRPr="00A509D2" w:rsidRDefault="009C1FD4" w:rsidP="00852963">
      <w:pPr>
        <w:pStyle w:val="Reference"/>
      </w:pPr>
      <w:r w:rsidRPr="00A509D2">
        <w:t xml:space="preserve">Marshall Islands Conservation Society, 2026, </w:t>
      </w:r>
      <w:r w:rsidRPr="00A509D2">
        <w:rPr>
          <w:i/>
          <w:iCs/>
        </w:rPr>
        <w:t>The Atolls — Marshall Islands Conservation Society</w:t>
      </w:r>
      <w:r w:rsidRPr="00A509D2">
        <w:t xml:space="preserve">, accessed April 15, 2026, at https://www.atollconservation.org/atolls. </w:t>
      </w:r>
    </w:p>
    <w:p w14:paraId="2E325ECA" w14:textId="77777777" w:rsidR="00993E39" w:rsidRPr="00C057B1" w:rsidRDefault="00993E39" w:rsidP="0083586C">
      <w:pPr>
        <w:pStyle w:val="Reference"/>
      </w:pPr>
      <w:r w:rsidRPr="00C057B1">
        <w:rPr>
          <w:rFonts w:eastAsia="Times New Roman"/>
        </w:rPr>
        <w:t>National Oceanic and Atmospheric Administration, 2025, Global Forecast System (GFS): National Centers for Environmental Prediction, accessed 2025, at https://www.ncei.noaa.gov/products/weather-climate-models/global-forecast.</w:t>
      </w:r>
    </w:p>
    <w:p w14:paraId="5D6B4419" w14:textId="77777777" w:rsidR="00993E39" w:rsidRDefault="00993E39" w:rsidP="0083586C">
      <w:pPr>
        <w:pStyle w:val="Reference"/>
        <w:rPr>
          <w:rFonts w:eastAsia="Times New Roman"/>
        </w:rPr>
      </w:pPr>
      <w:r w:rsidRPr="00C057B1">
        <w:rPr>
          <w:rFonts w:eastAsia="Times New Roman"/>
        </w:rPr>
        <w:t xml:space="preserve">Pacific ENSO Applications Climate Center [PEAC], 2015, 3rd quarter, 2015: Pacific ENSO Update, v. 21, no. 3, accessed 2023, at </w:t>
      </w:r>
      <w:hyperlink r:id="rId27" w:history="1">
        <w:r w:rsidRPr="00E00C81">
          <w:rPr>
            <w:rStyle w:val="Hyperlink"/>
            <w:rFonts w:eastAsia="Times New Roman"/>
          </w:rPr>
          <w:t>https://www.weather.gov/media/peac/PEU/PEU_v21_n3.pdf</w:t>
        </w:r>
      </w:hyperlink>
      <w:r w:rsidRPr="00C057B1">
        <w:rPr>
          <w:rFonts w:eastAsia="Times New Roman"/>
        </w:rPr>
        <w:t>.</w:t>
      </w:r>
    </w:p>
    <w:p w14:paraId="77204F51" w14:textId="77777777" w:rsidR="00993E39" w:rsidRPr="00C057B1" w:rsidRDefault="00993E39" w:rsidP="0083586C">
      <w:pPr>
        <w:pStyle w:val="Reference"/>
      </w:pPr>
      <w:proofErr w:type="spellStart"/>
      <w:r w:rsidRPr="00A34899">
        <w:lastRenderedPageBreak/>
        <w:t>Pebesma</w:t>
      </w:r>
      <w:proofErr w:type="spellEnd"/>
      <w:r w:rsidRPr="00A34899">
        <w:t>, E., 2018, Simple features for R—Standardized support for spatial vector data: The R Journal, v. 10, no. 1, p. 439–446, https://doi.org/10.32614/RJ-2018-009.</w:t>
      </w:r>
    </w:p>
    <w:p w14:paraId="0D37EFF7" w14:textId="1DF180F6" w:rsidR="00E74BC5" w:rsidRPr="00E74BC5" w:rsidRDefault="00E74BC5" w:rsidP="00852963">
      <w:pPr>
        <w:pStyle w:val="Reference"/>
      </w:pPr>
      <w:r w:rsidRPr="00E74BC5">
        <w:t xml:space="preserve">Presley, T.K., 2005, </w:t>
      </w:r>
      <w:r w:rsidRPr="00E74BC5">
        <w:rPr>
          <w:i/>
          <w:iCs/>
        </w:rPr>
        <w:t>Effects of the 1998 drought on the freshwater lens in the Laura area, Majuro Atoll, Republic of the Marshall Islands</w:t>
      </w:r>
      <w:r w:rsidRPr="00E74BC5">
        <w:t>: U.S. Geological Survey Scientific Investigations Report 2005–5098, 40 p., https://doi.org/10.3133/sir20055098.</w:t>
      </w:r>
    </w:p>
    <w:p w14:paraId="1806E8AD" w14:textId="77777777" w:rsidR="00121728" w:rsidRPr="00F23AE1" w:rsidRDefault="00121728" w:rsidP="00852963">
      <w:pPr>
        <w:pStyle w:val="Reference"/>
      </w:pPr>
      <w:r w:rsidRPr="00F23AE1">
        <w:t>Quake</w:t>
      </w:r>
      <w:r>
        <w:t xml:space="preserve"> </w:t>
      </w:r>
      <w:r w:rsidRPr="00F23AE1">
        <w:t xml:space="preserve">FYI, 2026, </w:t>
      </w:r>
      <w:r w:rsidRPr="00F23AE1">
        <w:rPr>
          <w:i/>
          <w:iCs/>
        </w:rPr>
        <w:t>Marshall Islands earthquake history &amp; seismic risk</w:t>
      </w:r>
      <w:r w:rsidRPr="00F23AE1">
        <w:t xml:space="preserve"> (Seismic Zone: Low; “interior of the Pacific Plate, far from any active plate boundary … essentially no local seismicity”), accessed April 15, 2026, at https://quakefyi.com/country/marshall-islands/</w:t>
      </w:r>
    </w:p>
    <w:p w14:paraId="26730379" w14:textId="5A9774CD" w:rsidR="00C057B1" w:rsidRDefault="00C057B1" w:rsidP="0083586C">
      <w:pPr>
        <w:pStyle w:val="Reference"/>
        <w:rPr>
          <w:rFonts w:eastAsia="Times New Roman"/>
        </w:rPr>
      </w:pPr>
      <w:r w:rsidRPr="00C057B1">
        <w:rPr>
          <w:rFonts w:eastAsia="Times New Roman"/>
        </w:rPr>
        <w:t xml:space="preserve">R Core Team, 2024, R—A language and environment for statistical computing: Vienna, Austria, R Foundation for Statistical Computing, </w:t>
      </w:r>
      <w:hyperlink r:id="rId28" w:history="1">
        <w:r w:rsidR="0078061F" w:rsidRPr="00B869ED">
          <w:rPr>
            <w:rStyle w:val="Hyperlink"/>
            <w:rFonts w:eastAsia="Times New Roman"/>
          </w:rPr>
          <w:t>https://www.R-project.org/</w:t>
        </w:r>
      </w:hyperlink>
      <w:r w:rsidRPr="00C057B1">
        <w:rPr>
          <w:rFonts w:eastAsia="Times New Roman"/>
        </w:rPr>
        <w:t>.</w:t>
      </w:r>
    </w:p>
    <w:p w14:paraId="1BDE0BA2" w14:textId="77777777" w:rsidR="0078061F" w:rsidRPr="00056EE4" w:rsidRDefault="0078061F" w:rsidP="00852963">
      <w:pPr>
        <w:pStyle w:val="Reference"/>
      </w:pPr>
      <w:r w:rsidRPr="00056EE4">
        <w:t>Senay, G.B., Kagone, S., and Velpuri, N.M., 2020, Operational global actual evapotranspiration using the SSEBop model—USGS data release: U.S. Geological Survey Data Release, DOI:10.5066/P9OUVUUI.</w:t>
      </w:r>
    </w:p>
    <w:p w14:paraId="2558FF04" w14:textId="601CBA03" w:rsidR="00C057B1" w:rsidRDefault="00C057B1" w:rsidP="0083586C">
      <w:pPr>
        <w:pStyle w:val="Reference"/>
        <w:rPr>
          <w:rFonts w:eastAsia="Times New Roman"/>
        </w:rPr>
      </w:pPr>
      <w:r w:rsidRPr="00C057B1">
        <w:rPr>
          <w:rFonts w:eastAsia="Times New Roman"/>
        </w:rPr>
        <w:t xml:space="preserve">Senay, G.B., Helweg, D.A., Kagone, S., Taylor, J.B., Cecere, T., Eastmond, T., Koch, A., Nelson, K., and Rufus, L., 2023, Developing satellite-estimated precipitation monthly reports for selected locations in the Republic of the Marshall Islands: U.S. Geological Survey Data Report 1181, 7 p., </w:t>
      </w:r>
      <w:hyperlink r:id="rId29" w:history="1">
        <w:r w:rsidR="0078061F" w:rsidRPr="00B869ED">
          <w:rPr>
            <w:rStyle w:val="Hyperlink"/>
            <w:rFonts w:eastAsia="Times New Roman"/>
          </w:rPr>
          <w:t>https://doi.org/10.3133/dr1181</w:t>
        </w:r>
      </w:hyperlink>
      <w:r w:rsidRPr="00C057B1">
        <w:rPr>
          <w:rFonts w:eastAsia="Times New Roman"/>
        </w:rPr>
        <w:t>.</w:t>
      </w:r>
    </w:p>
    <w:p w14:paraId="0CE1E9E8" w14:textId="77777777" w:rsidR="006A366E" w:rsidRDefault="006A366E" w:rsidP="00852963">
      <w:pPr>
        <w:pStyle w:val="Reference"/>
      </w:pPr>
      <w:r w:rsidRPr="00A85C17">
        <w:t xml:space="preserve">Tribble, G.W., 2008, </w:t>
      </w:r>
      <w:r w:rsidRPr="00A85C17">
        <w:rPr>
          <w:i/>
          <w:iCs/>
        </w:rPr>
        <w:t>Ground water on tropical Pacific Islands—understanding a vital resource</w:t>
      </w:r>
      <w:r w:rsidRPr="00A85C17">
        <w:t>: U.S. Geological Survey Circular 1312, 35 p.</w:t>
      </w:r>
    </w:p>
    <w:p w14:paraId="69B17F92" w14:textId="42C25DE7" w:rsidR="0078061F" w:rsidRDefault="0078061F" w:rsidP="00852963">
      <w:pPr>
        <w:pStyle w:val="Reference"/>
      </w:pPr>
      <w:r w:rsidRPr="003724DC">
        <w:t>USGS Data release</w:t>
      </w:r>
    </w:p>
    <w:p w14:paraId="623C0FEC" w14:textId="77777777" w:rsidR="00C057B1" w:rsidRPr="00C057B1" w:rsidRDefault="00C057B1" w:rsidP="0083586C">
      <w:pPr>
        <w:pStyle w:val="Reference"/>
      </w:pPr>
      <w:r w:rsidRPr="00C057B1">
        <w:rPr>
          <w:rFonts w:eastAsia="Times New Roman"/>
        </w:rPr>
        <w:t xml:space="preserve">Wickham, H., Averick, M., Bryan, J., Chang, W., McGowan, L.D., François, R., Grolemund, G., Hayes, A., Henry, L., Hester, J., Kuhn, M., Pedersen, T.L., Miller, E., Bache, S.M., Müller, K., Ooms, J., Robinson, D., Seidel, D.P., Spinu, V., Takahashi, K., Vaughan, D., Wilke, C., Woo, </w:t>
      </w:r>
      <w:r w:rsidRPr="00C057B1">
        <w:rPr>
          <w:rFonts w:eastAsia="Times New Roman"/>
        </w:rPr>
        <w:lastRenderedPageBreak/>
        <w:t xml:space="preserve">K., and Yutani, H., 2019, Welcome to the </w:t>
      </w:r>
      <w:proofErr w:type="spellStart"/>
      <w:r w:rsidRPr="00C057B1">
        <w:rPr>
          <w:rFonts w:eastAsia="Times New Roman"/>
        </w:rPr>
        <w:t>Tidyverse</w:t>
      </w:r>
      <w:proofErr w:type="spellEnd"/>
      <w:r w:rsidRPr="00C057B1">
        <w:rPr>
          <w:rFonts w:eastAsia="Times New Roman"/>
        </w:rPr>
        <w:t xml:space="preserve">: </w:t>
      </w:r>
      <w:r w:rsidRPr="00C057B1">
        <w:rPr>
          <w:rFonts w:eastAsia="Times New Roman"/>
          <w:i/>
          <w:iCs/>
        </w:rPr>
        <w:t xml:space="preserve">Journal of Open Source Software, </w:t>
      </w:r>
      <w:r w:rsidRPr="00C057B1">
        <w:rPr>
          <w:rFonts w:eastAsia="Times New Roman"/>
        </w:rPr>
        <w:t>v. 4, no. 43, p. 1686, https://doi.org/10.21105/joss.01686.</w:t>
      </w:r>
    </w:p>
    <w:p w14:paraId="64558F11" w14:textId="77777777" w:rsidR="0078061F" w:rsidRPr="00A509D2" w:rsidRDefault="0078061F" w:rsidP="00852963">
      <w:pPr>
        <w:pStyle w:val="Reference"/>
      </w:pPr>
      <w:r w:rsidRPr="00A509D2">
        <w:t xml:space="preserve">Xue, C., 2001, </w:t>
      </w:r>
      <w:r w:rsidRPr="00A509D2">
        <w:rPr>
          <w:i/>
          <w:iCs/>
        </w:rPr>
        <w:t>Coastal erosion and management of Majuro Atoll, Marshall Islands</w:t>
      </w:r>
      <w:r w:rsidRPr="00A509D2">
        <w:t xml:space="preserve">: </w:t>
      </w:r>
      <w:r w:rsidRPr="00A509D2">
        <w:rPr>
          <w:i/>
          <w:iCs/>
        </w:rPr>
        <w:t>Journal of Coastal Research</w:t>
      </w:r>
      <w:r w:rsidRPr="00A509D2">
        <w:t xml:space="preserve">, v. 17, no. 4, p. 909–918. </w:t>
      </w:r>
    </w:p>
    <w:p w14:paraId="415E7A0F" w14:textId="77777777" w:rsidR="0078061F" w:rsidRPr="00E74BC5" w:rsidRDefault="0078061F" w:rsidP="00852963">
      <w:pPr>
        <w:pStyle w:val="Reference"/>
      </w:pPr>
      <w:r w:rsidRPr="00E74BC5">
        <w:t xml:space="preserve">Yoshimoto, S., Ishida, S., Kobayashi, T., Koda, K., </w:t>
      </w:r>
      <w:proofErr w:type="spellStart"/>
      <w:r w:rsidRPr="00E74BC5">
        <w:t>Tsuchihara</w:t>
      </w:r>
      <w:proofErr w:type="spellEnd"/>
      <w:r w:rsidRPr="00E74BC5">
        <w:t xml:space="preserve">, T., &amp; </w:t>
      </w:r>
      <w:proofErr w:type="spellStart"/>
      <w:r w:rsidRPr="00E74BC5">
        <w:t>Shirahata</w:t>
      </w:r>
      <w:proofErr w:type="spellEnd"/>
      <w:r w:rsidRPr="00E74BC5">
        <w:t xml:space="preserve">, K., 2020, </w:t>
      </w:r>
      <w:r w:rsidRPr="00E74BC5">
        <w:rPr>
          <w:i/>
          <w:iCs/>
        </w:rPr>
        <w:t>Using hydrogeochemical indicators to interpret groundwater flow and geochemical evolution of a freshwater lens on Majuro Atoll, Republic of the Marshall Islands</w:t>
      </w:r>
      <w:r w:rsidRPr="00E74BC5">
        <w:t>, Hydrogeology Journal, 28, 1053–1075, https://doi.org/10.1007/s10040-019-02105-w.</w:t>
      </w:r>
    </w:p>
    <w:p w14:paraId="764BA867" w14:textId="1E46DF8E" w:rsidR="00DA6B7A" w:rsidRPr="00272FE1" w:rsidRDefault="00DA6B7A" w:rsidP="00DA6B7A">
      <w:pPr>
        <w:pStyle w:val="Reference"/>
      </w:pPr>
    </w:p>
    <w:sectPr w:rsidR="00DA6B7A" w:rsidRPr="00272FE1" w:rsidSect="003E3FFA">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2407B" w14:textId="77777777" w:rsidR="00FB6524" w:rsidRDefault="00FB6524" w:rsidP="006E5BF4">
      <w:pPr>
        <w:spacing w:after="0" w:line="240" w:lineRule="auto"/>
      </w:pPr>
      <w:r>
        <w:separator/>
      </w:r>
    </w:p>
    <w:p w14:paraId="6D6092DC" w14:textId="77777777" w:rsidR="00FB6524" w:rsidRDefault="00FB6524"/>
    <w:p w14:paraId="2CEEFC82" w14:textId="77777777" w:rsidR="00FB6524" w:rsidRDefault="00FB6524"/>
  </w:endnote>
  <w:endnote w:type="continuationSeparator" w:id="0">
    <w:p w14:paraId="794DD232" w14:textId="77777777" w:rsidR="00FB6524" w:rsidRDefault="00FB6524" w:rsidP="006E5BF4">
      <w:pPr>
        <w:spacing w:after="0" w:line="240" w:lineRule="auto"/>
      </w:pPr>
      <w:r>
        <w:continuationSeparator/>
      </w:r>
    </w:p>
    <w:p w14:paraId="3985C705" w14:textId="77777777" w:rsidR="00FB6524" w:rsidRDefault="00FB6524"/>
    <w:p w14:paraId="5C30D239" w14:textId="77777777" w:rsidR="00FB6524" w:rsidRDefault="00FB6524"/>
  </w:endnote>
  <w:endnote w:type="continuationNotice" w:id="1">
    <w:p w14:paraId="3AB65BAD" w14:textId="77777777" w:rsidR="00FB6524" w:rsidRDefault="00FB65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222933"/>
      <w:docPartObj>
        <w:docPartGallery w:val="Page Numbers (Bottom of Page)"/>
        <w:docPartUnique/>
      </w:docPartObj>
    </w:sdtPr>
    <w:sdtEndPr>
      <w:rPr>
        <w:noProof/>
      </w:rPr>
    </w:sdtEndPr>
    <w:sdtContent>
      <w:p w14:paraId="789A5936" w14:textId="77777777" w:rsidR="00B5798F" w:rsidRDefault="00B5798F">
        <w:pPr>
          <w:pStyle w:val="Footer"/>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695931" w14:textId="77777777" w:rsidR="00FB6524" w:rsidRDefault="00FB6524" w:rsidP="00B41E6F">
      <w:pPr>
        <w:spacing w:after="0" w:line="240" w:lineRule="auto"/>
      </w:pPr>
      <w:r>
        <w:separator/>
      </w:r>
    </w:p>
  </w:footnote>
  <w:footnote w:type="continuationSeparator" w:id="0">
    <w:p w14:paraId="1FA6FE64" w14:textId="77777777" w:rsidR="00FB6524" w:rsidRDefault="00FB6524" w:rsidP="006E5BF4">
      <w:pPr>
        <w:spacing w:after="0" w:line="240" w:lineRule="auto"/>
      </w:pPr>
      <w:r>
        <w:continuationSeparator/>
      </w:r>
    </w:p>
    <w:p w14:paraId="647A052A" w14:textId="77777777" w:rsidR="00FB6524" w:rsidRDefault="00FB6524"/>
    <w:p w14:paraId="3824F6FF" w14:textId="77777777" w:rsidR="00FB6524" w:rsidRDefault="00FB6524"/>
  </w:footnote>
  <w:footnote w:type="continuationNotice" w:id="1">
    <w:p w14:paraId="797E3230" w14:textId="77777777" w:rsidR="00FB6524" w:rsidRDefault="00FB652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45364658">
    <w:abstractNumId w:val="1"/>
  </w:num>
  <w:num w:numId="2" w16cid:durableId="22992610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10F"/>
    <w:rsid w:val="00004621"/>
    <w:rsid w:val="00006750"/>
    <w:rsid w:val="000076ED"/>
    <w:rsid w:val="00015131"/>
    <w:rsid w:val="000162D0"/>
    <w:rsid w:val="0001753B"/>
    <w:rsid w:val="0001776F"/>
    <w:rsid w:val="0002042E"/>
    <w:rsid w:val="00020C71"/>
    <w:rsid w:val="0002415D"/>
    <w:rsid w:val="000261D8"/>
    <w:rsid w:val="00030A5D"/>
    <w:rsid w:val="00033E32"/>
    <w:rsid w:val="00035A31"/>
    <w:rsid w:val="00037CC1"/>
    <w:rsid w:val="00041636"/>
    <w:rsid w:val="00041AAD"/>
    <w:rsid w:val="00041BA7"/>
    <w:rsid w:val="00047EC2"/>
    <w:rsid w:val="000558A5"/>
    <w:rsid w:val="0006275E"/>
    <w:rsid w:val="000633FA"/>
    <w:rsid w:val="00063709"/>
    <w:rsid w:val="00065379"/>
    <w:rsid w:val="00065618"/>
    <w:rsid w:val="000705F3"/>
    <w:rsid w:val="0007129E"/>
    <w:rsid w:val="00072B88"/>
    <w:rsid w:val="00072F96"/>
    <w:rsid w:val="000739AB"/>
    <w:rsid w:val="00073B0A"/>
    <w:rsid w:val="00073B82"/>
    <w:rsid w:val="00074954"/>
    <w:rsid w:val="00075A2F"/>
    <w:rsid w:val="00077CF2"/>
    <w:rsid w:val="000819A7"/>
    <w:rsid w:val="0008223D"/>
    <w:rsid w:val="0008476F"/>
    <w:rsid w:val="00085E36"/>
    <w:rsid w:val="00087FCE"/>
    <w:rsid w:val="000921C7"/>
    <w:rsid w:val="00093CFD"/>
    <w:rsid w:val="00095375"/>
    <w:rsid w:val="00095E42"/>
    <w:rsid w:val="00096D81"/>
    <w:rsid w:val="000976CC"/>
    <w:rsid w:val="000A0895"/>
    <w:rsid w:val="000A0AD8"/>
    <w:rsid w:val="000A1F1E"/>
    <w:rsid w:val="000A50CB"/>
    <w:rsid w:val="000A5F43"/>
    <w:rsid w:val="000B0917"/>
    <w:rsid w:val="000B36C5"/>
    <w:rsid w:val="000B43AC"/>
    <w:rsid w:val="000B50F7"/>
    <w:rsid w:val="000B51DF"/>
    <w:rsid w:val="000B7453"/>
    <w:rsid w:val="000C79D2"/>
    <w:rsid w:val="000D0FE1"/>
    <w:rsid w:val="000D1369"/>
    <w:rsid w:val="000D1398"/>
    <w:rsid w:val="000D21D7"/>
    <w:rsid w:val="000D2453"/>
    <w:rsid w:val="000D47AC"/>
    <w:rsid w:val="000E02EB"/>
    <w:rsid w:val="000E0BCA"/>
    <w:rsid w:val="000E2ADF"/>
    <w:rsid w:val="000E3E7B"/>
    <w:rsid w:val="000E4841"/>
    <w:rsid w:val="000F0539"/>
    <w:rsid w:val="000F0DBA"/>
    <w:rsid w:val="000F15FC"/>
    <w:rsid w:val="000F2341"/>
    <w:rsid w:val="000F26DB"/>
    <w:rsid w:val="000F3AEC"/>
    <w:rsid w:val="000F43F2"/>
    <w:rsid w:val="000F5A20"/>
    <w:rsid w:val="00100F7A"/>
    <w:rsid w:val="0010382A"/>
    <w:rsid w:val="001038CF"/>
    <w:rsid w:val="001063F2"/>
    <w:rsid w:val="00106750"/>
    <w:rsid w:val="00107804"/>
    <w:rsid w:val="00110F85"/>
    <w:rsid w:val="00111DEC"/>
    <w:rsid w:val="001124FF"/>
    <w:rsid w:val="00114346"/>
    <w:rsid w:val="00114645"/>
    <w:rsid w:val="00121728"/>
    <w:rsid w:val="00124F91"/>
    <w:rsid w:val="00125440"/>
    <w:rsid w:val="00125492"/>
    <w:rsid w:val="00125840"/>
    <w:rsid w:val="00125EA6"/>
    <w:rsid w:val="00126261"/>
    <w:rsid w:val="00127089"/>
    <w:rsid w:val="0012766F"/>
    <w:rsid w:val="0012778C"/>
    <w:rsid w:val="00135A6A"/>
    <w:rsid w:val="00135C91"/>
    <w:rsid w:val="0013641D"/>
    <w:rsid w:val="0013689D"/>
    <w:rsid w:val="00137C3C"/>
    <w:rsid w:val="00140690"/>
    <w:rsid w:val="001414B1"/>
    <w:rsid w:val="00142250"/>
    <w:rsid w:val="00143020"/>
    <w:rsid w:val="001444FF"/>
    <w:rsid w:val="001465B7"/>
    <w:rsid w:val="001465FC"/>
    <w:rsid w:val="0015133C"/>
    <w:rsid w:val="001524E4"/>
    <w:rsid w:val="00165D44"/>
    <w:rsid w:val="00165FE7"/>
    <w:rsid w:val="001716E7"/>
    <w:rsid w:val="00172D37"/>
    <w:rsid w:val="0017337F"/>
    <w:rsid w:val="0017565D"/>
    <w:rsid w:val="0017690B"/>
    <w:rsid w:val="00180F04"/>
    <w:rsid w:val="00183B69"/>
    <w:rsid w:val="00185249"/>
    <w:rsid w:val="00185D62"/>
    <w:rsid w:val="00186D14"/>
    <w:rsid w:val="001930A7"/>
    <w:rsid w:val="00193CA3"/>
    <w:rsid w:val="00194EAC"/>
    <w:rsid w:val="001A0774"/>
    <w:rsid w:val="001A0906"/>
    <w:rsid w:val="001A0E43"/>
    <w:rsid w:val="001A179E"/>
    <w:rsid w:val="001A1B84"/>
    <w:rsid w:val="001A40DB"/>
    <w:rsid w:val="001A52AE"/>
    <w:rsid w:val="001A6871"/>
    <w:rsid w:val="001B1E01"/>
    <w:rsid w:val="001B2F28"/>
    <w:rsid w:val="001B3906"/>
    <w:rsid w:val="001B5653"/>
    <w:rsid w:val="001C0D1F"/>
    <w:rsid w:val="001C3A08"/>
    <w:rsid w:val="001C3C18"/>
    <w:rsid w:val="001C428F"/>
    <w:rsid w:val="001C66BF"/>
    <w:rsid w:val="001C7E6F"/>
    <w:rsid w:val="001D0A0F"/>
    <w:rsid w:val="001D49D7"/>
    <w:rsid w:val="001D4A87"/>
    <w:rsid w:val="001D5356"/>
    <w:rsid w:val="001D5982"/>
    <w:rsid w:val="001D6AED"/>
    <w:rsid w:val="001D6CCA"/>
    <w:rsid w:val="001E08CB"/>
    <w:rsid w:val="001E183F"/>
    <w:rsid w:val="001E6C73"/>
    <w:rsid w:val="001E7DDB"/>
    <w:rsid w:val="001F0C17"/>
    <w:rsid w:val="001F1383"/>
    <w:rsid w:val="001F3EE4"/>
    <w:rsid w:val="001F48D8"/>
    <w:rsid w:val="001F60EA"/>
    <w:rsid w:val="001F7C5C"/>
    <w:rsid w:val="002003E5"/>
    <w:rsid w:val="00203691"/>
    <w:rsid w:val="002045DD"/>
    <w:rsid w:val="00210B55"/>
    <w:rsid w:val="002117F8"/>
    <w:rsid w:val="00211C65"/>
    <w:rsid w:val="00213DD3"/>
    <w:rsid w:val="0021507E"/>
    <w:rsid w:val="002151D1"/>
    <w:rsid w:val="00215395"/>
    <w:rsid w:val="00220D69"/>
    <w:rsid w:val="00226D47"/>
    <w:rsid w:val="00235035"/>
    <w:rsid w:val="00235AF9"/>
    <w:rsid w:val="00235BC6"/>
    <w:rsid w:val="00235DF8"/>
    <w:rsid w:val="002361BF"/>
    <w:rsid w:val="002409BA"/>
    <w:rsid w:val="00242666"/>
    <w:rsid w:val="00242E09"/>
    <w:rsid w:val="002437AB"/>
    <w:rsid w:val="00246AEB"/>
    <w:rsid w:val="0025004A"/>
    <w:rsid w:val="00250E4D"/>
    <w:rsid w:val="00250EE3"/>
    <w:rsid w:val="00251281"/>
    <w:rsid w:val="00252367"/>
    <w:rsid w:val="002546FE"/>
    <w:rsid w:val="002565BA"/>
    <w:rsid w:val="002614BE"/>
    <w:rsid w:val="002658ED"/>
    <w:rsid w:val="002679E2"/>
    <w:rsid w:val="00270424"/>
    <w:rsid w:val="00271056"/>
    <w:rsid w:val="0027116A"/>
    <w:rsid w:val="00271337"/>
    <w:rsid w:val="00272FE1"/>
    <w:rsid w:val="002747C8"/>
    <w:rsid w:val="002762F1"/>
    <w:rsid w:val="00277557"/>
    <w:rsid w:val="00277790"/>
    <w:rsid w:val="00282B63"/>
    <w:rsid w:val="00284DCA"/>
    <w:rsid w:val="00285049"/>
    <w:rsid w:val="0028592E"/>
    <w:rsid w:val="00286111"/>
    <w:rsid w:val="00286781"/>
    <w:rsid w:val="00287933"/>
    <w:rsid w:val="00290256"/>
    <w:rsid w:val="002909E3"/>
    <w:rsid w:val="00291ACE"/>
    <w:rsid w:val="00291FE5"/>
    <w:rsid w:val="0029234B"/>
    <w:rsid w:val="0029672F"/>
    <w:rsid w:val="00297C59"/>
    <w:rsid w:val="002A178E"/>
    <w:rsid w:val="002A451A"/>
    <w:rsid w:val="002A5963"/>
    <w:rsid w:val="002B12ED"/>
    <w:rsid w:val="002B1993"/>
    <w:rsid w:val="002B4951"/>
    <w:rsid w:val="002B559B"/>
    <w:rsid w:val="002B66B8"/>
    <w:rsid w:val="002C1CA4"/>
    <w:rsid w:val="002C33DA"/>
    <w:rsid w:val="002C3C3E"/>
    <w:rsid w:val="002C46FC"/>
    <w:rsid w:val="002C4980"/>
    <w:rsid w:val="002C54B3"/>
    <w:rsid w:val="002C5FA9"/>
    <w:rsid w:val="002C61D3"/>
    <w:rsid w:val="002C6D3E"/>
    <w:rsid w:val="002C6D8A"/>
    <w:rsid w:val="002D092F"/>
    <w:rsid w:val="002D2372"/>
    <w:rsid w:val="002D5146"/>
    <w:rsid w:val="002E02C6"/>
    <w:rsid w:val="002E2E3D"/>
    <w:rsid w:val="002E4346"/>
    <w:rsid w:val="002E477C"/>
    <w:rsid w:val="002F3AF6"/>
    <w:rsid w:val="002F4C0E"/>
    <w:rsid w:val="002F7724"/>
    <w:rsid w:val="00300310"/>
    <w:rsid w:val="00300EDA"/>
    <w:rsid w:val="00301ADA"/>
    <w:rsid w:val="00302A26"/>
    <w:rsid w:val="003047CC"/>
    <w:rsid w:val="0030652C"/>
    <w:rsid w:val="0031210C"/>
    <w:rsid w:val="003153D2"/>
    <w:rsid w:val="00317114"/>
    <w:rsid w:val="003172BD"/>
    <w:rsid w:val="003177B5"/>
    <w:rsid w:val="00325AB3"/>
    <w:rsid w:val="00325C69"/>
    <w:rsid w:val="00325E7E"/>
    <w:rsid w:val="00327A7C"/>
    <w:rsid w:val="00330C0B"/>
    <w:rsid w:val="003332B6"/>
    <w:rsid w:val="003365A4"/>
    <w:rsid w:val="00337D42"/>
    <w:rsid w:val="0034363B"/>
    <w:rsid w:val="00343F10"/>
    <w:rsid w:val="00344036"/>
    <w:rsid w:val="003446EF"/>
    <w:rsid w:val="00355A0F"/>
    <w:rsid w:val="003623ED"/>
    <w:rsid w:val="0036681B"/>
    <w:rsid w:val="003668BD"/>
    <w:rsid w:val="00370191"/>
    <w:rsid w:val="003724DC"/>
    <w:rsid w:val="00375189"/>
    <w:rsid w:val="0037689F"/>
    <w:rsid w:val="00377520"/>
    <w:rsid w:val="00377C23"/>
    <w:rsid w:val="00380016"/>
    <w:rsid w:val="00381CC1"/>
    <w:rsid w:val="003848EB"/>
    <w:rsid w:val="00384FA8"/>
    <w:rsid w:val="00385122"/>
    <w:rsid w:val="003873BB"/>
    <w:rsid w:val="003902D6"/>
    <w:rsid w:val="00390FFE"/>
    <w:rsid w:val="00393F59"/>
    <w:rsid w:val="00395172"/>
    <w:rsid w:val="003951A8"/>
    <w:rsid w:val="003A6BDE"/>
    <w:rsid w:val="003A6DAA"/>
    <w:rsid w:val="003A71E6"/>
    <w:rsid w:val="003A7907"/>
    <w:rsid w:val="003B1806"/>
    <w:rsid w:val="003B2870"/>
    <w:rsid w:val="003B35C8"/>
    <w:rsid w:val="003B4B0A"/>
    <w:rsid w:val="003B4EA0"/>
    <w:rsid w:val="003B581A"/>
    <w:rsid w:val="003B59D5"/>
    <w:rsid w:val="003B66D2"/>
    <w:rsid w:val="003C0674"/>
    <w:rsid w:val="003C1AB5"/>
    <w:rsid w:val="003C1FB4"/>
    <w:rsid w:val="003C235E"/>
    <w:rsid w:val="003C2B88"/>
    <w:rsid w:val="003C35AC"/>
    <w:rsid w:val="003C6C89"/>
    <w:rsid w:val="003C73F0"/>
    <w:rsid w:val="003C7607"/>
    <w:rsid w:val="003C7D1B"/>
    <w:rsid w:val="003D0008"/>
    <w:rsid w:val="003D25B1"/>
    <w:rsid w:val="003D28C4"/>
    <w:rsid w:val="003D2B56"/>
    <w:rsid w:val="003D2D9E"/>
    <w:rsid w:val="003D6BFB"/>
    <w:rsid w:val="003D6F5C"/>
    <w:rsid w:val="003D7907"/>
    <w:rsid w:val="003E0013"/>
    <w:rsid w:val="003E3FFA"/>
    <w:rsid w:val="003F045D"/>
    <w:rsid w:val="003F0795"/>
    <w:rsid w:val="003F1992"/>
    <w:rsid w:val="003F44CA"/>
    <w:rsid w:val="003F6628"/>
    <w:rsid w:val="00400E6D"/>
    <w:rsid w:val="00401B05"/>
    <w:rsid w:val="00402C2E"/>
    <w:rsid w:val="00403771"/>
    <w:rsid w:val="00403E2B"/>
    <w:rsid w:val="00405CFC"/>
    <w:rsid w:val="00412919"/>
    <w:rsid w:val="00414447"/>
    <w:rsid w:val="00423302"/>
    <w:rsid w:val="00423AEE"/>
    <w:rsid w:val="00430510"/>
    <w:rsid w:val="00432199"/>
    <w:rsid w:val="0043322E"/>
    <w:rsid w:val="00445213"/>
    <w:rsid w:val="00445DA1"/>
    <w:rsid w:val="00450937"/>
    <w:rsid w:val="00452E77"/>
    <w:rsid w:val="00456102"/>
    <w:rsid w:val="0045789F"/>
    <w:rsid w:val="00461407"/>
    <w:rsid w:val="00463992"/>
    <w:rsid w:val="004668A3"/>
    <w:rsid w:val="00467CCA"/>
    <w:rsid w:val="00470158"/>
    <w:rsid w:val="00470A75"/>
    <w:rsid w:val="00470D38"/>
    <w:rsid w:val="00474337"/>
    <w:rsid w:val="00481377"/>
    <w:rsid w:val="00481CC4"/>
    <w:rsid w:val="00481D46"/>
    <w:rsid w:val="004829B2"/>
    <w:rsid w:val="0048606F"/>
    <w:rsid w:val="0049511B"/>
    <w:rsid w:val="004973A7"/>
    <w:rsid w:val="004A3490"/>
    <w:rsid w:val="004A3B69"/>
    <w:rsid w:val="004A4863"/>
    <w:rsid w:val="004B4D1D"/>
    <w:rsid w:val="004B5462"/>
    <w:rsid w:val="004B5C0D"/>
    <w:rsid w:val="004B6DD1"/>
    <w:rsid w:val="004B76EE"/>
    <w:rsid w:val="004B78F0"/>
    <w:rsid w:val="004C1608"/>
    <w:rsid w:val="004C27B7"/>
    <w:rsid w:val="004C34A8"/>
    <w:rsid w:val="004C3818"/>
    <w:rsid w:val="004C4CAF"/>
    <w:rsid w:val="004D0004"/>
    <w:rsid w:val="004D6334"/>
    <w:rsid w:val="004E00E5"/>
    <w:rsid w:val="004E0A0D"/>
    <w:rsid w:val="004E0F6B"/>
    <w:rsid w:val="004E11D0"/>
    <w:rsid w:val="004E4661"/>
    <w:rsid w:val="004E4E9D"/>
    <w:rsid w:val="004E5512"/>
    <w:rsid w:val="004E7088"/>
    <w:rsid w:val="004E775B"/>
    <w:rsid w:val="004F005C"/>
    <w:rsid w:val="004F1FD5"/>
    <w:rsid w:val="004F4C5A"/>
    <w:rsid w:val="004F4D44"/>
    <w:rsid w:val="004F5A49"/>
    <w:rsid w:val="00500BF1"/>
    <w:rsid w:val="0050327B"/>
    <w:rsid w:val="00503E5D"/>
    <w:rsid w:val="0050509C"/>
    <w:rsid w:val="00505A67"/>
    <w:rsid w:val="0051608E"/>
    <w:rsid w:val="00523081"/>
    <w:rsid w:val="005316A7"/>
    <w:rsid w:val="00533E54"/>
    <w:rsid w:val="00537A2C"/>
    <w:rsid w:val="00540D88"/>
    <w:rsid w:val="00541295"/>
    <w:rsid w:val="00541983"/>
    <w:rsid w:val="00542D5F"/>
    <w:rsid w:val="005431FE"/>
    <w:rsid w:val="00543282"/>
    <w:rsid w:val="00544B11"/>
    <w:rsid w:val="005450D4"/>
    <w:rsid w:val="00546187"/>
    <w:rsid w:val="0054623F"/>
    <w:rsid w:val="00547601"/>
    <w:rsid w:val="00552AE2"/>
    <w:rsid w:val="00553421"/>
    <w:rsid w:val="005534B4"/>
    <w:rsid w:val="0055425E"/>
    <w:rsid w:val="0055582E"/>
    <w:rsid w:val="00555987"/>
    <w:rsid w:val="0055689D"/>
    <w:rsid w:val="00560048"/>
    <w:rsid w:val="00573345"/>
    <w:rsid w:val="00580237"/>
    <w:rsid w:val="00580709"/>
    <w:rsid w:val="0058372E"/>
    <w:rsid w:val="00583AAA"/>
    <w:rsid w:val="00583AF4"/>
    <w:rsid w:val="005852EC"/>
    <w:rsid w:val="00585D57"/>
    <w:rsid w:val="00590AC0"/>
    <w:rsid w:val="00590B55"/>
    <w:rsid w:val="0059375E"/>
    <w:rsid w:val="00596181"/>
    <w:rsid w:val="0059725D"/>
    <w:rsid w:val="00597520"/>
    <w:rsid w:val="00597EF2"/>
    <w:rsid w:val="00597FC6"/>
    <w:rsid w:val="005A0184"/>
    <w:rsid w:val="005A30F6"/>
    <w:rsid w:val="005A416B"/>
    <w:rsid w:val="005A47A8"/>
    <w:rsid w:val="005B0134"/>
    <w:rsid w:val="005B40AF"/>
    <w:rsid w:val="005B77EE"/>
    <w:rsid w:val="005C0FE8"/>
    <w:rsid w:val="005C1BF4"/>
    <w:rsid w:val="005C4BA7"/>
    <w:rsid w:val="005C598B"/>
    <w:rsid w:val="005D0CBE"/>
    <w:rsid w:val="005D0F7E"/>
    <w:rsid w:val="005D1B6A"/>
    <w:rsid w:val="005D2508"/>
    <w:rsid w:val="005E3EBD"/>
    <w:rsid w:val="005E4B7D"/>
    <w:rsid w:val="005E5EB9"/>
    <w:rsid w:val="005F020B"/>
    <w:rsid w:val="005F1E0E"/>
    <w:rsid w:val="005F494C"/>
    <w:rsid w:val="00606909"/>
    <w:rsid w:val="00606B7B"/>
    <w:rsid w:val="00606DE3"/>
    <w:rsid w:val="0061140A"/>
    <w:rsid w:val="006117BA"/>
    <w:rsid w:val="00612620"/>
    <w:rsid w:val="006132C8"/>
    <w:rsid w:val="006145A3"/>
    <w:rsid w:val="0061734E"/>
    <w:rsid w:val="006176CA"/>
    <w:rsid w:val="00621766"/>
    <w:rsid w:val="00622888"/>
    <w:rsid w:val="006240AF"/>
    <w:rsid w:val="00624871"/>
    <w:rsid w:val="0062687C"/>
    <w:rsid w:val="00627205"/>
    <w:rsid w:val="0063064A"/>
    <w:rsid w:val="006336CD"/>
    <w:rsid w:val="0063649E"/>
    <w:rsid w:val="00637C5E"/>
    <w:rsid w:val="00640294"/>
    <w:rsid w:val="00640804"/>
    <w:rsid w:val="00641F77"/>
    <w:rsid w:val="0064200A"/>
    <w:rsid w:val="006432F9"/>
    <w:rsid w:val="00644D11"/>
    <w:rsid w:val="0064718D"/>
    <w:rsid w:val="00647D32"/>
    <w:rsid w:val="0065053A"/>
    <w:rsid w:val="006506B0"/>
    <w:rsid w:val="0065127C"/>
    <w:rsid w:val="00657BB3"/>
    <w:rsid w:val="006608A9"/>
    <w:rsid w:val="00665A45"/>
    <w:rsid w:val="0066654A"/>
    <w:rsid w:val="006667EA"/>
    <w:rsid w:val="006765A9"/>
    <w:rsid w:val="006768FF"/>
    <w:rsid w:val="00680855"/>
    <w:rsid w:val="00680A00"/>
    <w:rsid w:val="00680E86"/>
    <w:rsid w:val="00681D2F"/>
    <w:rsid w:val="0068372F"/>
    <w:rsid w:val="006932F3"/>
    <w:rsid w:val="006941D0"/>
    <w:rsid w:val="006957C1"/>
    <w:rsid w:val="00695F45"/>
    <w:rsid w:val="006A0EE8"/>
    <w:rsid w:val="006A110F"/>
    <w:rsid w:val="006A366E"/>
    <w:rsid w:val="006A40BD"/>
    <w:rsid w:val="006A4906"/>
    <w:rsid w:val="006A6B89"/>
    <w:rsid w:val="006A76A8"/>
    <w:rsid w:val="006B067B"/>
    <w:rsid w:val="006B0695"/>
    <w:rsid w:val="006B2A59"/>
    <w:rsid w:val="006B2F55"/>
    <w:rsid w:val="006B3CF6"/>
    <w:rsid w:val="006B6056"/>
    <w:rsid w:val="006C080F"/>
    <w:rsid w:val="006C0885"/>
    <w:rsid w:val="006C154B"/>
    <w:rsid w:val="006C3D57"/>
    <w:rsid w:val="006C615C"/>
    <w:rsid w:val="006C7FBF"/>
    <w:rsid w:val="006D5C16"/>
    <w:rsid w:val="006E0FE8"/>
    <w:rsid w:val="006E1EA2"/>
    <w:rsid w:val="006E2749"/>
    <w:rsid w:val="006E32DA"/>
    <w:rsid w:val="006E3343"/>
    <w:rsid w:val="006E3D0C"/>
    <w:rsid w:val="006E42E6"/>
    <w:rsid w:val="006E554A"/>
    <w:rsid w:val="006E5BF4"/>
    <w:rsid w:val="006E6554"/>
    <w:rsid w:val="006E6E0A"/>
    <w:rsid w:val="006F0737"/>
    <w:rsid w:val="006F662C"/>
    <w:rsid w:val="0070158B"/>
    <w:rsid w:val="00703BC8"/>
    <w:rsid w:val="00704D3D"/>
    <w:rsid w:val="007064C2"/>
    <w:rsid w:val="00711525"/>
    <w:rsid w:val="00712B5C"/>
    <w:rsid w:val="00713055"/>
    <w:rsid w:val="00714F3F"/>
    <w:rsid w:val="00717410"/>
    <w:rsid w:val="007207B0"/>
    <w:rsid w:val="00723B10"/>
    <w:rsid w:val="00723E6A"/>
    <w:rsid w:val="00723E93"/>
    <w:rsid w:val="00725834"/>
    <w:rsid w:val="0072650B"/>
    <w:rsid w:val="00726AFB"/>
    <w:rsid w:val="007270CD"/>
    <w:rsid w:val="007310D9"/>
    <w:rsid w:val="00731DBD"/>
    <w:rsid w:val="00732351"/>
    <w:rsid w:val="007328DF"/>
    <w:rsid w:val="00733411"/>
    <w:rsid w:val="00734C1B"/>
    <w:rsid w:val="00734EA9"/>
    <w:rsid w:val="00735EFA"/>
    <w:rsid w:val="007406E3"/>
    <w:rsid w:val="00740BE8"/>
    <w:rsid w:val="007418E1"/>
    <w:rsid w:val="00743CC4"/>
    <w:rsid w:val="00745014"/>
    <w:rsid w:val="007450A0"/>
    <w:rsid w:val="00746643"/>
    <w:rsid w:val="00750F01"/>
    <w:rsid w:val="00752D73"/>
    <w:rsid w:val="00753517"/>
    <w:rsid w:val="007536A1"/>
    <w:rsid w:val="00757ADE"/>
    <w:rsid w:val="00762DD8"/>
    <w:rsid w:val="007665C2"/>
    <w:rsid w:val="00772210"/>
    <w:rsid w:val="0077651C"/>
    <w:rsid w:val="00776609"/>
    <w:rsid w:val="00776B75"/>
    <w:rsid w:val="00777995"/>
    <w:rsid w:val="00780032"/>
    <w:rsid w:val="0078061F"/>
    <w:rsid w:val="00784A42"/>
    <w:rsid w:val="007916E4"/>
    <w:rsid w:val="00793C01"/>
    <w:rsid w:val="00797903"/>
    <w:rsid w:val="007A0DDD"/>
    <w:rsid w:val="007A16A5"/>
    <w:rsid w:val="007A7CE6"/>
    <w:rsid w:val="007B10FC"/>
    <w:rsid w:val="007B3BAF"/>
    <w:rsid w:val="007B6174"/>
    <w:rsid w:val="007B700D"/>
    <w:rsid w:val="007C37CD"/>
    <w:rsid w:val="007C4D35"/>
    <w:rsid w:val="007C50C6"/>
    <w:rsid w:val="007C6358"/>
    <w:rsid w:val="007D200C"/>
    <w:rsid w:val="007D254A"/>
    <w:rsid w:val="007D34F3"/>
    <w:rsid w:val="007D4B92"/>
    <w:rsid w:val="007D7049"/>
    <w:rsid w:val="007D7E00"/>
    <w:rsid w:val="007E1F6E"/>
    <w:rsid w:val="007E3042"/>
    <w:rsid w:val="007E4D97"/>
    <w:rsid w:val="007E4DB7"/>
    <w:rsid w:val="007E52B6"/>
    <w:rsid w:val="007F018F"/>
    <w:rsid w:val="007F54F7"/>
    <w:rsid w:val="007F6A8D"/>
    <w:rsid w:val="007F7DFE"/>
    <w:rsid w:val="00802909"/>
    <w:rsid w:val="00804C6A"/>
    <w:rsid w:val="00804EEF"/>
    <w:rsid w:val="00806F81"/>
    <w:rsid w:val="00807649"/>
    <w:rsid w:val="00810578"/>
    <w:rsid w:val="00811299"/>
    <w:rsid w:val="0081293E"/>
    <w:rsid w:val="00816C8B"/>
    <w:rsid w:val="00820913"/>
    <w:rsid w:val="00821356"/>
    <w:rsid w:val="00822058"/>
    <w:rsid w:val="0082397F"/>
    <w:rsid w:val="00826585"/>
    <w:rsid w:val="008272F8"/>
    <w:rsid w:val="00830E0D"/>
    <w:rsid w:val="00830EA7"/>
    <w:rsid w:val="00830F1E"/>
    <w:rsid w:val="0083586C"/>
    <w:rsid w:val="00836E65"/>
    <w:rsid w:val="00840C50"/>
    <w:rsid w:val="008415FF"/>
    <w:rsid w:val="00842312"/>
    <w:rsid w:val="00843963"/>
    <w:rsid w:val="00843B77"/>
    <w:rsid w:val="00844EEC"/>
    <w:rsid w:val="008459FA"/>
    <w:rsid w:val="008464A9"/>
    <w:rsid w:val="0084752E"/>
    <w:rsid w:val="00850710"/>
    <w:rsid w:val="008509B7"/>
    <w:rsid w:val="0085143B"/>
    <w:rsid w:val="00852306"/>
    <w:rsid w:val="00852963"/>
    <w:rsid w:val="0085536E"/>
    <w:rsid w:val="008554C5"/>
    <w:rsid w:val="00855D07"/>
    <w:rsid w:val="00860801"/>
    <w:rsid w:val="00860A62"/>
    <w:rsid w:val="00860BB0"/>
    <w:rsid w:val="008647FD"/>
    <w:rsid w:val="00865C7F"/>
    <w:rsid w:val="0086621E"/>
    <w:rsid w:val="0086699B"/>
    <w:rsid w:val="00867D43"/>
    <w:rsid w:val="00870D26"/>
    <w:rsid w:val="00870D7F"/>
    <w:rsid w:val="00871B4E"/>
    <w:rsid w:val="00877383"/>
    <w:rsid w:val="00877AE3"/>
    <w:rsid w:val="00877ED6"/>
    <w:rsid w:val="008814D2"/>
    <w:rsid w:val="00884855"/>
    <w:rsid w:val="0088608E"/>
    <w:rsid w:val="00886A97"/>
    <w:rsid w:val="0088723C"/>
    <w:rsid w:val="0089028C"/>
    <w:rsid w:val="00890D60"/>
    <w:rsid w:val="008912AE"/>
    <w:rsid w:val="00891C7F"/>
    <w:rsid w:val="0089219F"/>
    <w:rsid w:val="00892734"/>
    <w:rsid w:val="008975EE"/>
    <w:rsid w:val="008A0322"/>
    <w:rsid w:val="008A0E9D"/>
    <w:rsid w:val="008A365A"/>
    <w:rsid w:val="008A3F98"/>
    <w:rsid w:val="008A4E3A"/>
    <w:rsid w:val="008A7BA9"/>
    <w:rsid w:val="008A7F3B"/>
    <w:rsid w:val="008B5910"/>
    <w:rsid w:val="008B645D"/>
    <w:rsid w:val="008B7C38"/>
    <w:rsid w:val="008C009E"/>
    <w:rsid w:val="008C00BA"/>
    <w:rsid w:val="008C2657"/>
    <w:rsid w:val="008C2C65"/>
    <w:rsid w:val="008C3577"/>
    <w:rsid w:val="008C4EA0"/>
    <w:rsid w:val="008D0B09"/>
    <w:rsid w:val="008D2D5E"/>
    <w:rsid w:val="008D3661"/>
    <w:rsid w:val="008D3ECC"/>
    <w:rsid w:val="008D5AF6"/>
    <w:rsid w:val="008E1474"/>
    <w:rsid w:val="008E17C0"/>
    <w:rsid w:val="008E1D2A"/>
    <w:rsid w:val="008E4FCE"/>
    <w:rsid w:val="008E509B"/>
    <w:rsid w:val="008E56EA"/>
    <w:rsid w:val="008E6AF1"/>
    <w:rsid w:val="008E7F5C"/>
    <w:rsid w:val="008F04FA"/>
    <w:rsid w:val="008F4CF1"/>
    <w:rsid w:val="008F6D93"/>
    <w:rsid w:val="009002F0"/>
    <w:rsid w:val="009013AF"/>
    <w:rsid w:val="00904DF7"/>
    <w:rsid w:val="009053EA"/>
    <w:rsid w:val="00914878"/>
    <w:rsid w:val="00914B77"/>
    <w:rsid w:val="00914FDA"/>
    <w:rsid w:val="00924BC6"/>
    <w:rsid w:val="00925E9B"/>
    <w:rsid w:val="00926145"/>
    <w:rsid w:val="00927839"/>
    <w:rsid w:val="00930B58"/>
    <w:rsid w:val="00933B0D"/>
    <w:rsid w:val="009409F1"/>
    <w:rsid w:val="00942893"/>
    <w:rsid w:val="00944958"/>
    <w:rsid w:val="00944C61"/>
    <w:rsid w:val="0094538A"/>
    <w:rsid w:val="00947B4B"/>
    <w:rsid w:val="00947B6F"/>
    <w:rsid w:val="00951CEA"/>
    <w:rsid w:val="00951E00"/>
    <w:rsid w:val="00952034"/>
    <w:rsid w:val="00952D17"/>
    <w:rsid w:val="0095322D"/>
    <w:rsid w:val="009554FD"/>
    <w:rsid w:val="00956C69"/>
    <w:rsid w:val="009600B7"/>
    <w:rsid w:val="00960141"/>
    <w:rsid w:val="0096164E"/>
    <w:rsid w:val="009616D6"/>
    <w:rsid w:val="00963148"/>
    <w:rsid w:val="00963694"/>
    <w:rsid w:val="00967145"/>
    <w:rsid w:val="009704C5"/>
    <w:rsid w:val="009716CD"/>
    <w:rsid w:val="00972614"/>
    <w:rsid w:val="00974EB2"/>
    <w:rsid w:val="00975605"/>
    <w:rsid w:val="00975777"/>
    <w:rsid w:val="00976D0E"/>
    <w:rsid w:val="00981E0B"/>
    <w:rsid w:val="00982E09"/>
    <w:rsid w:val="00986160"/>
    <w:rsid w:val="009917D1"/>
    <w:rsid w:val="00992123"/>
    <w:rsid w:val="0099270A"/>
    <w:rsid w:val="00993324"/>
    <w:rsid w:val="00993E14"/>
    <w:rsid w:val="00993E39"/>
    <w:rsid w:val="00995756"/>
    <w:rsid w:val="0099585F"/>
    <w:rsid w:val="0099621C"/>
    <w:rsid w:val="009962C4"/>
    <w:rsid w:val="009973BA"/>
    <w:rsid w:val="009A17FA"/>
    <w:rsid w:val="009A2179"/>
    <w:rsid w:val="009A2AF8"/>
    <w:rsid w:val="009A3FDB"/>
    <w:rsid w:val="009A484C"/>
    <w:rsid w:val="009A66C0"/>
    <w:rsid w:val="009A6DEE"/>
    <w:rsid w:val="009A757D"/>
    <w:rsid w:val="009B14AD"/>
    <w:rsid w:val="009B20B7"/>
    <w:rsid w:val="009B318D"/>
    <w:rsid w:val="009B54F3"/>
    <w:rsid w:val="009C1844"/>
    <w:rsid w:val="009C1FD4"/>
    <w:rsid w:val="009C28E5"/>
    <w:rsid w:val="009C3E0D"/>
    <w:rsid w:val="009C7DCC"/>
    <w:rsid w:val="009D110E"/>
    <w:rsid w:val="009D18F4"/>
    <w:rsid w:val="009D28D3"/>
    <w:rsid w:val="009D2ADE"/>
    <w:rsid w:val="009D45ED"/>
    <w:rsid w:val="009D5293"/>
    <w:rsid w:val="009D5902"/>
    <w:rsid w:val="009D6E9E"/>
    <w:rsid w:val="009D783B"/>
    <w:rsid w:val="009E15B4"/>
    <w:rsid w:val="009E4F5C"/>
    <w:rsid w:val="009E6333"/>
    <w:rsid w:val="009F1C7A"/>
    <w:rsid w:val="009F4184"/>
    <w:rsid w:val="009F4E92"/>
    <w:rsid w:val="009F59F6"/>
    <w:rsid w:val="009F718F"/>
    <w:rsid w:val="00A001AD"/>
    <w:rsid w:val="00A00BA4"/>
    <w:rsid w:val="00A00FF4"/>
    <w:rsid w:val="00A018CD"/>
    <w:rsid w:val="00A02119"/>
    <w:rsid w:val="00A059A4"/>
    <w:rsid w:val="00A07FBE"/>
    <w:rsid w:val="00A100C8"/>
    <w:rsid w:val="00A10B6B"/>
    <w:rsid w:val="00A11C54"/>
    <w:rsid w:val="00A120B7"/>
    <w:rsid w:val="00A12C1A"/>
    <w:rsid w:val="00A15750"/>
    <w:rsid w:val="00A21985"/>
    <w:rsid w:val="00A23E9C"/>
    <w:rsid w:val="00A2491C"/>
    <w:rsid w:val="00A3207B"/>
    <w:rsid w:val="00A320A1"/>
    <w:rsid w:val="00A32549"/>
    <w:rsid w:val="00A32883"/>
    <w:rsid w:val="00A34899"/>
    <w:rsid w:val="00A361EC"/>
    <w:rsid w:val="00A36A07"/>
    <w:rsid w:val="00A40D61"/>
    <w:rsid w:val="00A42CF7"/>
    <w:rsid w:val="00A42DAA"/>
    <w:rsid w:val="00A43CF5"/>
    <w:rsid w:val="00A455C4"/>
    <w:rsid w:val="00A456AA"/>
    <w:rsid w:val="00A4756A"/>
    <w:rsid w:val="00A47EAB"/>
    <w:rsid w:val="00A509D2"/>
    <w:rsid w:val="00A52A25"/>
    <w:rsid w:val="00A541CF"/>
    <w:rsid w:val="00A55C7D"/>
    <w:rsid w:val="00A605A4"/>
    <w:rsid w:val="00A64695"/>
    <w:rsid w:val="00A650BD"/>
    <w:rsid w:val="00A65EB7"/>
    <w:rsid w:val="00A66278"/>
    <w:rsid w:val="00A6714C"/>
    <w:rsid w:val="00A711A3"/>
    <w:rsid w:val="00A7355D"/>
    <w:rsid w:val="00A76FD5"/>
    <w:rsid w:val="00A777D0"/>
    <w:rsid w:val="00A81602"/>
    <w:rsid w:val="00A86375"/>
    <w:rsid w:val="00A86941"/>
    <w:rsid w:val="00A8699B"/>
    <w:rsid w:val="00A913CF"/>
    <w:rsid w:val="00A92F32"/>
    <w:rsid w:val="00A949E4"/>
    <w:rsid w:val="00AA035A"/>
    <w:rsid w:val="00AA12C5"/>
    <w:rsid w:val="00AA1A53"/>
    <w:rsid w:val="00AA63CD"/>
    <w:rsid w:val="00AA7459"/>
    <w:rsid w:val="00AB0CB3"/>
    <w:rsid w:val="00AB150A"/>
    <w:rsid w:val="00AB771E"/>
    <w:rsid w:val="00AB785D"/>
    <w:rsid w:val="00AC168A"/>
    <w:rsid w:val="00AC41EA"/>
    <w:rsid w:val="00AD43CD"/>
    <w:rsid w:val="00AD78CC"/>
    <w:rsid w:val="00AE0452"/>
    <w:rsid w:val="00AE2578"/>
    <w:rsid w:val="00AE27AF"/>
    <w:rsid w:val="00AE27B0"/>
    <w:rsid w:val="00AE53A3"/>
    <w:rsid w:val="00AE59AF"/>
    <w:rsid w:val="00AF01C5"/>
    <w:rsid w:val="00AF5B36"/>
    <w:rsid w:val="00AF5C0B"/>
    <w:rsid w:val="00AF5FCB"/>
    <w:rsid w:val="00B00A3D"/>
    <w:rsid w:val="00B0231C"/>
    <w:rsid w:val="00B02506"/>
    <w:rsid w:val="00B0269A"/>
    <w:rsid w:val="00B02910"/>
    <w:rsid w:val="00B054CE"/>
    <w:rsid w:val="00B064DC"/>
    <w:rsid w:val="00B110CD"/>
    <w:rsid w:val="00B1240D"/>
    <w:rsid w:val="00B134BF"/>
    <w:rsid w:val="00B13980"/>
    <w:rsid w:val="00B1628C"/>
    <w:rsid w:val="00B17B00"/>
    <w:rsid w:val="00B20840"/>
    <w:rsid w:val="00B20C59"/>
    <w:rsid w:val="00B216DF"/>
    <w:rsid w:val="00B305B9"/>
    <w:rsid w:val="00B314F5"/>
    <w:rsid w:val="00B32A2E"/>
    <w:rsid w:val="00B34B1D"/>
    <w:rsid w:val="00B353DD"/>
    <w:rsid w:val="00B35D07"/>
    <w:rsid w:val="00B4007B"/>
    <w:rsid w:val="00B41DE6"/>
    <w:rsid w:val="00B41E6F"/>
    <w:rsid w:val="00B42504"/>
    <w:rsid w:val="00B46531"/>
    <w:rsid w:val="00B47869"/>
    <w:rsid w:val="00B50C96"/>
    <w:rsid w:val="00B5798F"/>
    <w:rsid w:val="00B60CE5"/>
    <w:rsid w:val="00B64FC9"/>
    <w:rsid w:val="00B67D0F"/>
    <w:rsid w:val="00B71D47"/>
    <w:rsid w:val="00B728A4"/>
    <w:rsid w:val="00B728C7"/>
    <w:rsid w:val="00B73CD2"/>
    <w:rsid w:val="00B750B0"/>
    <w:rsid w:val="00B759B5"/>
    <w:rsid w:val="00B76517"/>
    <w:rsid w:val="00B81ECE"/>
    <w:rsid w:val="00B82756"/>
    <w:rsid w:val="00B82DE4"/>
    <w:rsid w:val="00B86149"/>
    <w:rsid w:val="00B9202C"/>
    <w:rsid w:val="00B93318"/>
    <w:rsid w:val="00B938DE"/>
    <w:rsid w:val="00B945CC"/>
    <w:rsid w:val="00B94EC6"/>
    <w:rsid w:val="00B97327"/>
    <w:rsid w:val="00BA7CFB"/>
    <w:rsid w:val="00BB15CE"/>
    <w:rsid w:val="00BB2B28"/>
    <w:rsid w:val="00BB2C9D"/>
    <w:rsid w:val="00BB3900"/>
    <w:rsid w:val="00BB6CB7"/>
    <w:rsid w:val="00BB7282"/>
    <w:rsid w:val="00BC22B6"/>
    <w:rsid w:val="00BC25E3"/>
    <w:rsid w:val="00BC4C81"/>
    <w:rsid w:val="00BC5BAF"/>
    <w:rsid w:val="00BC711D"/>
    <w:rsid w:val="00BC7530"/>
    <w:rsid w:val="00BD0DC1"/>
    <w:rsid w:val="00BD27C2"/>
    <w:rsid w:val="00BD3E98"/>
    <w:rsid w:val="00BD45E3"/>
    <w:rsid w:val="00BD59D2"/>
    <w:rsid w:val="00BD76E9"/>
    <w:rsid w:val="00BD77A1"/>
    <w:rsid w:val="00BE02E7"/>
    <w:rsid w:val="00BE0EEC"/>
    <w:rsid w:val="00BE1919"/>
    <w:rsid w:val="00BE31BA"/>
    <w:rsid w:val="00BE5217"/>
    <w:rsid w:val="00BF078F"/>
    <w:rsid w:val="00BF125D"/>
    <w:rsid w:val="00BF363C"/>
    <w:rsid w:val="00C01036"/>
    <w:rsid w:val="00C0199C"/>
    <w:rsid w:val="00C02BB7"/>
    <w:rsid w:val="00C03E7B"/>
    <w:rsid w:val="00C057B1"/>
    <w:rsid w:val="00C105B8"/>
    <w:rsid w:val="00C12574"/>
    <w:rsid w:val="00C157DA"/>
    <w:rsid w:val="00C17A3C"/>
    <w:rsid w:val="00C222A2"/>
    <w:rsid w:val="00C238F8"/>
    <w:rsid w:val="00C24111"/>
    <w:rsid w:val="00C2481E"/>
    <w:rsid w:val="00C30157"/>
    <w:rsid w:val="00C316AC"/>
    <w:rsid w:val="00C31D7A"/>
    <w:rsid w:val="00C36450"/>
    <w:rsid w:val="00C37619"/>
    <w:rsid w:val="00C376A1"/>
    <w:rsid w:val="00C40CFC"/>
    <w:rsid w:val="00C414CB"/>
    <w:rsid w:val="00C41B2A"/>
    <w:rsid w:val="00C4355E"/>
    <w:rsid w:val="00C46ABE"/>
    <w:rsid w:val="00C500C0"/>
    <w:rsid w:val="00C50850"/>
    <w:rsid w:val="00C511F7"/>
    <w:rsid w:val="00C53024"/>
    <w:rsid w:val="00C53066"/>
    <w:rsid w:val="00C5315E"/>
    <w:rsid w:val="00C54333"/>
    <w:rsid w:val="00C54806"/>
    <w:rsid w:val="00C54B34"/>
    <w:rsid w:val="00C551DA"/>
    <w:rsid w:val="00C56090"/>
    <w:rsid w:val="00C57655"/>
    <w:rsid w:val="00C62C62"/>
    <w:rsid w:val="00C63373"/>
    <w:rsid w:val="00C64445"/>
    <w:rsid w:val="00C667E0"/>
    <w:rsid w:val="00C6708C"/>
    <w:rsid w:val="00C720AA"/>
    <w:rsid w:val="00C7231E"/>
    <w:rsid w:val="00C737F8"/>
    <w:rsid w:val="00C77926"/>
    <w:rsid w:val="00C77D07"/>
    <w:rsid w:val="00C8110E"/>
    <w:rsid w:val="00C81C8E"/>
    <w:rsid w:val="00C83F61"/>
    <w:rsid w:val="00C84072"/>
    <w:rsid w:val="00C85E1A"/>
    <w:rsid w:val="00C85FBA"/>
    <w:rsid w:val="00C87602"/>
    <w:rsid w:val="00C8764F"/>
    <w:rsid w:val="00C919DA"/>
    <w:rsid w:val="00C94A81"/>
    <w:rsid w:val="00C94BEA"/>
    <w:rsid w:val="00C955E0"/>
    <w:rsid w:val="00C96114"/>
    <w:rsid w:val="00C9726C"/>
    <w:rsid w:val="00CA0DF1"/>
    <w:rsid w:val="00CA30B2"/>
    <w:rsid w:val="00CA402A"/>
    <w:rsid w:val="00CA5C6C"/>
    <w:rsid w:val="00CA6056"/>
    <w:rsid w:val="00CA6068"/>
    <w:rsid w:val="00CB0409"/>
    <w:rsid w:val="00CB0D6C"/>
    <w:rsid w:val="00CB1FD7"/>
    <w:rsid w:val="00CB296A"/>
    <w:rsid w:val="00CB39BB"/>
    <w:rsid w:val="00CB4DFB"/>
    <w:rsid w:val="00CB6442"/>
    <w:rsid w:val="00CB79F9"/>
    <w:rsid w:val="00CC0023"/>
    <w:rsid w:val="00CC0818"/>
    <w:rsid w:val="00CC2116"/>
    <w:rsid w:val="00CC46C2"/>
    <w:rsid w:val="00CC498E"/>
    <w:rsid w:val="00CC6392"/>
    <w:rsid w:val="00CC6DDB"/>
    <w:rsid w:val="00CC7D8F"/>
    <w:rsid w:val="00CD11D5"/>
    <w:rsid w:val="00CD566D"/>
    <w:rsid w:val="00CD6D96"/>
    <w:rsid w:val="00CE69C6"/>
    <w:rsid w:val="00CF2BEF"/>
    <w:rsid w:val="00CF3182"/>
    <w:rsid w:val="00CF3418"/>
    <w:rsid w:val="00CF4C4A"/>
    <w:rsid w:val="00CF7FCF"/>
    <w:rsid w:val="00D02562"/>
    <w:rsid w:val="00D04E74"/>
    <w:rsid w:val="00D070DF"/>
    <w:rsid w:val="00D07173"/>
    <w:rsid w:val="00D11511"/>
    <w:rsid w:val="00D13505"/>
    <w:rsid w:val="00D17227"/>
    <w:rsid w:val="00D24080"/>
    <w:rsid w:val="00D31096"/>
    <w:rsid w:val="00D315F2"/>
    <w:rsid w:val="00D31C56"/>
    <w:rsid w:val="00D31C93"/>
    <w:rsid w:val="00D321DB"/>
    <w:rsid w:val="00D33E4A"/>
    <w:rsid w:val="00D354E1"/>
    <w:rsid w:val="00D374CA"/>
    <w:rsid w:val="00D37DC9"/>
    <w:rsid w:val="00D410D8"/>
    <w:rsid w:val="00D416EB"/>
    <w:rsid w:val="00D427BC"/>
    <w:rsid w:val="00D42BB8"/>
    <w:rsid w:val="00D44086"/>
    <w:rsid w:val="00D44407"/>
    <w:rsid w:val="00D45AC5"/>
    <w:rsid w:val="00D45D6D"/>
    <w:rsid w:val="00D47DAD"/>
    <w:rsid w:val="00D50270"/>
    <w:rsid w:val="00D502F1"/>
    <w:rsid w:val="00D504AD"/>
    <w:rsid w:val="00D525D5"/>
    <w:rsid w:val="00D53269"/>
    <w:rsid w:val="00D5330C"/>
    <w:rsid w:val="00D54ED3"/>
    <w:rsid w:val="00D6060F"/>
    <w:rsid w:val="00D60C12"/>
    <w:rsid w:val="00D70D8C"/>
    <w:rsid w:val="00D7136F"/>
    <w:rsid w:val="00D71C78"/>
    <w:rsid w:val="00D73572"/>
    <w:rsid w:val="00D73970"/>
    <w:rsid w:val="00D80AE9"/>
    <w:rsid w:val="00D81402"/>
    <w:rsid w:val="00D827A4"/>
    <w:rsid w:val="00D83532"/>
    <w:rsid w:val="00D96378"/>
    <w:rsid w:val="00D96E97"/>
    <w:rsid w:val="00D9782A"/>
    <w:rsid w:val="00D97A15"/>
    <w:rsid w:val="00DA06D1"/>
    <w:rsid w:val="00DA12FB"/>
    <w:rsid w:val="00DA15CB"/>
    <w:rsid w:val="00DA18F3"/>
    <w:rsid w:val="00DA4233"/>
    <w:rsid w:val="00DA5D4F"/>
    <w:rsid w:val="00DA6B7A"/>
    <w:rsid w:val="00DA6E2E"/>
    <w:rsid w:val="00DB071C"/>
    <w:rsid w:val="00DB089D"/>
    <w:rsid w:val="00DB2679"/>
    <w:rsid w:val="00DB67B4"/>
    <w:rsid w:val="00DB7EA9"/>
    <w:rsid w:val="00DB7FE7"/>
    <w:rsid w:val="00DC1C01"/>
    <w:rsid w:val="00DC5F74"/>
    <w:rsid w:val="00DC5FD9"/>
    <w:rsid w:val="00DD1918"/>
    <w:rsid w:val="00DD2C5A"/>
    <w:rsid w:val="00DD57A4"/>
    <w:rsid w:val="00DD582E"/>
    <w:rsid w:val="00DD6840"/>
    <w:rsid w:val="00DE2D9E"/>
    <w:rsid w:val="00DE4128"/>
    <w:rsid w:val="00DE5785"/>
    <w:rsid w:val="00DF2818"/>
    <w:rsid w:val="00DF36AD"/>
    <w:rsid w:val="00DF4FB4"/>
    <w:rsid w:val="00DF6521"/>
    <w:rsid w:val="00DF6629"/>
    <w:rsid w:val="00DF74B2"/>
    <w:rsid w:val="00E028C0"/>
    <w:rsid w:val="00E0296A"/>
    <w:rsid w:val="00E02CF8"/>
    <w:rsid w:val="00E04519"/>
    <w:rsid w:val="00E05749"/>
    <w:rsid w:val="00E10376"/>
    <w:rsid w:val="00E10626"/>
    <w:rsid w:val="00E112DA"/>
    <w:rsid w:val="00E121C2"/>
    <w:rsid w:val="00E161FA"/>
    <w:rsid w:val="00E16AEB"/>
    <w:rsid w:val="00E20B92"/>
    <w:rsid w:val="00E20C28"/>
    <w:rsid w:val="00E2167C"/>
    <w:rsid w:val="00E21ACC"/>
    <w:rsid w:val="00E24A86"/>
    <w:rsid w:val="00E26C1A"/>
    <w:rsid w:val="00E33917"/>
    <w:rsid w:val="00E34847"/>
    <w:rsid w:val="00E34C2E"/>
    <w:rsid w:val="00E34F80"/>
    <w:rsid w:val="00E36C67"/>
    <w:rsid w:val="00E36E23"/>
    <w:rsid w:val="00E37E53"/>
    <w:rsid w:val="00E40237"/>
    <w:rsid w:val="00E40841"/>
    <w:rsid w:val="00E42DB8"/>
    <w:rsid w:val="00E430C0"/>
    <w:rsid w:val="00E430DE"/>
    <w:rsid w:val="00E44A0B"/>
    <w:rsid w:val="00E46463"/>
    <w:rsid w:val="00E464E7"/>
    <w:rsid w:val="00E46D09"/>
    <w:rsid w:val="00E4739C"/>
    <w:rsid w:val="00E4753E"/>
    <w:rsid w:val="00E54CDA"/>
    <w:rsid w:val="00E55BD4"/>
    <w:rsid w:val="00E57066"/>
    <w:rsid w:val="00E60FA4"/>
    <w:rsid w:val="00E646C6"/>
    <w:rsid w:val="00E6519C"/>
    <w:rsid w:val="00E673F6"/>
    <w:rsid w:val="00E679AB"/>
    <w:rsid w:val="00E7081B"/>
    <w:rsid w:val="00E71205"/>
    <w:rsid w:val="00E71E4E"/>
    <w:rsid w:val="00E72C02"/>
    <w:rsid w:val="00E73EBB"/>
    <w:rsid w:val="00E74BC5"/>
    <w:rsid w:val="00E7754B"/>
    <w:rsid w:val="00E802C7"/>
    <w:rsid w:val="00E827B1"/>
    <w:rsid w:val="00E84AC0"/>
    <w:rsid w:val="00E84BC3"/>
    <w:rsid w:val="00E8523D"/>
    <w:rsid w:val="00E85C03"/>
    <w:rsid w:val="00E863DD"/>
    <w:rsid w:val="00E87E01"/>
    <w:rsid w:val="00E9160A"/>
    <w:rsid w:val="00E92AF1"/>
    <w:rsid w:val="00E935F3"/>
    <w:rsid w:val="00E974F6"/>
    <w:rsid w:val="00E97C6A"/>
    <w:rsid w:val="00EA0D40"/>
    <w:rsid w:val="00EA17A9"/>
    <w:rsid w:val="00EA6201"/>
    <w:rsid w:val="00EA67D5"/>
    <w:rsid w:val="00EB0DFA"/>
    <w:rsid w:val="00EB2D46"/>
    <w:rsid w:val="00EB3A7D"/>
    <w:rsid w:val="00EB3A8C"/>
    <w:rsid w:val="00EB60BA"/>
    <w:rsid w:val="00EB693D"/>
    <w:rsid w:val="00EB7C5E"/>
    <w:rsid w:val="00EC21C4"/>
    <w:rsid w:val="00EC24F1"/>
    <w:rsid w:val="00EC4481"/>
    <w:rsid w:val="00EC59EF"/>
    <w:rsid w:val="00EC5C2F"/>
    <w:rsid w:val="00EC71EE"/>
    <w:rsid w:val="00ED017B"/>
    <w:rsid w:val="00ED67D1"/>
    <w:rsid w:val="00ED6D7B"/>
    <w:rsid w:val="00ED738C"/>
    <w:rsid w:val="00ED7958"/>
    <w:rsid w:val="00EE0B03"/>
    <w:rsid w:val="00EE1584"/>
    <w:rsid w:val="00EE323C"/>
    <w:rsid w:val="00EE46D5"/>
    <w:rsid w:val="00EE6B55"/>
    <w:rsid w:val="00EF051C"/>
    <w:rsid w:val="00EF3339"/>
    <w:rsid w:val="00EF4FD8"/>
    <w:rsid w:val="00EF547D"/>
    <w:rsid w:val="00EF5841"/>
    <w:rsid w:val="00EF7339"/>
    <w:rsid w:val="00EF7CBE"/>
    <w:rsid w:val="00EF7D1B"/>
    <w:rsid w:val="00F0096B"/>
    <w:rsid w:val="00F00EF3"/>
    <w:rsid w:val="00F021D6"/>
    <w:rsid w:val="00F02391"/>
    <w:rsid w:val="00F06D75"/>
    <w:rsid w:val="00F079E1"/>
    <w:rsid w:val="00F07BC1"/>
    <w:rsid w:val="00F10DA3"/>
    <w:rsid w:val="00F12457"/>
    <w:rsid w:val="00F16997"/>
    <w:rsid w:val="00F16AA8"/>
    <w:rsid w:val="00F17053"/>
    <w:rsid w:val="00F21FBA"/>
    <w:rsid w:val="00F22A5F"/>
    <w:rsid w:val="00F23AE1"/>
    <w:rsid w:val="00F2608F"/>
    <w:rsid w:val="00F272B4"/>
    <w:rsid w:val="00F279DA"/>
    <w:rsid w:val="00F27FE7"/>
    <w:rsid w:val="00F32E5E"/>
    <w:rsid w:val="00F37A27"/>
    <w:rsid w:val="00F419C1"/>
    <w:rsid w:val="00F42700"/>
    <w:rsid w:val="00F44FC8"/>
    <w:rsid w:val="00F452DD"/>
    <w:rsid w:val="00F45790"/>
    <w:rsid w:val="00F46AA8"/>
    <w:rsid w:val="00F51409"/>
    <w:rsid w:val="00F516BF"/>
    <w:rsid w:val="00F52666"/>
    <w:rsid w:val="00F53741"/>
    <w:rsid w:val="00F57F97"/>
    <w:rsid w:val="00F6425A"/>
    <w:rsid w:val="00F6429F"/>
    <w:rsid w:val="00F657DF"/>
    <w:rsid w:val="00F65C54"/>
    <w:rsid w:val="00F71C64"/>
    <w:rsid w:val="00F7387F"/>
    <w:rsid w:val="00F74CCE"/>
    <w:rsid w:val="00F813DF"/>
    <w:rsid w:val="00F850B4"/>
    <w:rsid w:val="00F853E1"/>
    <w:rsid w:val="00F871AB"/>
    <w:rsid w:val="00F879F2"/>
    <w:rsid w:val="00F87FFD"/>
    <w:rsid w:val="00F95AE6"/>
    <w:rsid w:val="00FA0609"/>
    <w:rsid w:val="00FA4EF9"/>
    <w:rsid w:val="00FA51C8"/>
    <w:rsid w:val="00FA5F4D"/>
    <w:rsid w:val="00FB39C5"/>
    <w:rsid w:val="00FB5BFD"/>
    <w:rsid w:val="00FB5E10"/>
    <w:rsid w:val="00FB6524"/>
    <w:rsid w:val="00FC0ED6"/>
    <w:rsid w:val="00FC3649"/>
    <w:rsid w:val="00FC5FDA"/>
    <w:rsid w:val="00FD2418"/>
    <w:rsid w:val="00FD69D4"/>
    <w:rsid w:val="00FD6B1D"/>
    <w:rsid w:val="00FD6C97"/>
    <w:rsid w:val="00FD6D06"/>
    <w:rsid w:val="00FE1D81"/>
    <w:rsid w:val="00FE2184"/>
    <w:rsid w:val="00FE238D"/>
    <w:rsid w:val="00FE779B"/>
    <w:rsid w:val="00FF1E8B"/>
    <w:rsid w:val="00FF23A5"/>
    <w:rsid w:val="00FF30CB"/>
    <w:rsid w:val="00FF4979"/>
    <w:rsid w:val="00FF5497"/>
    <w:rsid w:val="0151CCA9"/>
    <w:rsid w:val="0229D454"/>
    <w:rsid w:val="03C63378"/>
    <w:rsid w:val="069B5438"/>
    <w:rsid w:val="0D865EF2"/>
    <w:rsid w:val="10DF149C"/>
    <w:rsid w:val="128C5C2E"/>
    <w:rsid w:val="16C36C23"/>
    <w:rsid w:val="1790F9AC"/>
    <w:rsid w:val="1E5D1E66"/>
    <w:rsid w:val="21DAD076"/>
    <w:rsid w:val="22D4F592"/>
    <w:rsid w:val="22E0B960"/>
    <w:rsid w:val="2413B1C6"/>
    <w:rsid w:val="25A413DE"/>
    <w:rsid w:val="26702684"/>
    <w:rsid w:val="2A191E35"/>
    <w:rsid w:val="2C879BA6"/>
    <w:rsid w:val="2D3456CF"/>
    <w:rsid w:val="2EE244ED"/>
    <w:rsid w:val="2FFA0320"/>
    <w:rsid w:val="3207C7F2"/>
    <w:rsid w:val="3245B441"/>
    <w:rsid w:val="3281A8EE"/>
    <w:rsid w:val="3331A3E2"/>
    <w:rsid w:val="33FD061A"/>
    <w:rsid w:val="3485BEDF"/>
    <w:rsid w:val="34CD7443"/>
    <w:rsid w:val="357D5503"/>
    <w:rsid w:val="3588C059"/>
    <w:rsid w:val="396E0C34"/>
    <w:rsid w:val="3A0183BD"/>
    <w:rsid w:val="3A98A36D"/>
    <w:rsid w:val="3DAF75E3"/>
    <w:rsid w:val="3ECDE4AA"/>
    <w:rsid w:val="44EB6B5F"/>
    <w:rsid w:val="464C8F3C"/>
    <w:rsid w:val="47E85F9D"/>
    <w:rsid w:val="48DC2290"/>
    <w:rsid w:val="49842FFE"/>
    <w:rsid w:val="4A91A3C6"/>
    <w:rsid w:val="4D194994"/>
    <w:rsid w:val="4EB519F5"/>
    <w:rsid w:val="4F6514E9"/>
    <w:rsid w:val="531B62FF"/>
    <w:rsid w:val="53A95F9B"/>
    <w:rsid w:val="55A17D3B"/>
    <w:rsid w:val="573A0DD1"/>
    <w:rsid w:val="5832D9A2"/>
    <w:rsid w:val="58BAA9CA"/>
    <w:rsid w:val="5CB07C3E"/>
    <w:rsid w:val="5CC62B9C"/>
    <w:rsid w:val="5FAA8AE0"/>
    <w:rsid w:val="61CED75A"/>
    <w:rsid w:val="6341A54D"/>
    <w:rsid w:val="6393EDDB"/>
    <w:rsid w:val="6482FB87"/>
    <w:rsid w:val="64A7A2AA"/>
    <w:rsid w:val="6658F0A5"/>
    <w:rsid w:val="66EA25C4"/>
    <w:rsid w:val="694AFE3D"/>
    <w:rsid w:val="6DB7AF35"/>
    <w:rsid w:val="6F6343FE"/>
    <w:rsid w:val="71D4EE42"/>
    <w:rsid w:val="71EE169F"/>
    <w:rsid w:val="7389E700"/>
    <w:rsid w:val="766DA4DC"/>
    <w:rsid w:val="772AE930"/>
    <w:rsid w:val="77585A59"/>
    <w:rsid w:val="779306DD"/>
    <w:rsid w:val="798ADB7F"/>
    <w:rsid w:val="7B4A66A9"/>
    <w:rsid w:val="7C6C53B0"/>
    <w:rsid w:val="7DE9B20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02A5EE78-A562-4670-8DB0-ACDE4B9C1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semiHidden/>
    <w:rsid w:val="0081293E"/>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semiHidden/>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972614"/>
    <w:pPr>
      <w:spacing w:before="240" w:after="120"/>
      <w:outlineLvl w:val="1"/>
    </w:pPr>
    <w:rPr>
      <w:b/>
      <w:sz w:val="28"/>
    </w:rPr>
  </w:style>
  <w:style w:type="paragraph" w:customStyle="1" w:styleId="Head3">
    <w:name w:val="Head3"/>
    <w:basedOn w:val="BaseHeading"/>
    <w:qFormat/>
    <w:rsid w:val="003D6BFB"/>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695F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chart" Target="charts/chart4.xml"/><Relationship Id="rId26" Type="http://schemas.openxmlformats.org/officeDocument/2006/relationships/hyperlink" Target="https://doi.org/10.7132/jrcsa.24_1_15" TargetMode="Externa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chart" Target="charts/chart3.xml"/><Relationship Id="rId25" Type="http://schemas.openxmlformats.org/officeDocument/2006/relationships/hyperlink" Target="https://doi.org/10.5067/GPM/IMERGDF/DAY/07" TargetMode="Externa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hyperlink" Target="https://doi.org/10.3133/dr118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doi.org/10.1130/0016-7606(1989)101%3c1066:GOTLFW%3e2.3.CO;2"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hyperlink" Target="https://www.adb.org/sites/default/files/institutional-document/32120/charter.pdf" TargetMode="External"/><Relationship Id="rId28" Type="http://schemas.openxmlformats.org/officeDocument/2006/relationships/hyperlink" Target="https://www.R-project.org/" TargetMode="External"/><Relationship Id="rId10" Type="http://schemas.openxmlformats.org/officeDocument/2006/relationships/endnotes" Target="endnotes.xml"/><Relationship Id="rId19" Type="http://schemas.openxmlformats.org/officeDocument/2006/relationships/chart" Target="charts/chart5.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6.png"/><Relationship Id="rId27" Type="http://schemas.openxmlformats.org/officeDocument/2006/relationships/hyperlink" Target="https://www.weather.gov/media/peac/PEU/PEU_v21_n3.pdf" TargetMode="External"/><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6.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6.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6.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6.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6.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6.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Majuro!$D$2</c:f>
              <c:strCache>
                <c:ptCount val="1"/>
                <c:pt idx="0">
                  <c:v>mm</c:v>
                </c:pt>
              </c:strCache>
            </c:strRef>
          </c:tx>
          <c:spPr>
            <a:solidFill>
              <a:schemeClr val="accent1">
                <a:lumMod val="60000"/>
                <a:lumOff val="40000"/>
              </a:schemeClr>
            </a:solidFill>
            <a:ln>
              <a:solidFill>
                <a:schemeClr val="accent1">
                  <a:lumMod val="60000"/>
                  <a:lumOff val="40000"/>
                </a:schemeClr>
              </a:solidFill>
            </a:ln>
            <a:effectLst/>
          </c:spPr>
          <c:invertIfNegative val="0"/>
          <c:cat>
            <c:strRef>
              <c:f>Majuro!$A$3:$A$338</c:f>
              <c:strCache>
                <c:ptCount val="336"/>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pt idx="333">
                  <c:v>2025-10</c:v>
                </c:pt>
                <c:pt idx="334">
                  <c:v>2025-11</c:v>
                </c:pt>
                <c:pt idx="335">
                  <c:v>2025-12</c:v>
                </c:pt>
              </c:strCache>
            </c:strRef>
          </c:cat>
          <c:val>
            <c:numRef>
              <c:f>Majuro!$D$3:$D$338</c:f>
              <c:numCache>
                <c:formatCode>General</c:formatCode>
                <c:ptCount val="336"/>
                <c:pt idx="0">
                  <c:v>5.516666603</c:v>
                </c:pt>
                <c:pt idx="1">
                  <c:v>3.8933331849999999</c:v>
                </c:pt>
                <c:pt idx="2">
                  <c:v>3.4905554259999998</c:v>
                </c:pt>
                <c:pt idx="3">
                  <c:v>4.1372220429999897</c:v>
                </c:pt>
                <c:pt idx="4">
                  <c:v>87.213331015999998</c:v>
                </c:pt>
                <c:pt idx="5">
                  <c:v>225.46499229599999</c:v>
                </c:pt>
                <c:pt idx="6">
                  <c:v>291.88499656099998</c:v>
                </c:pt>
                <c:pt idx="7">
                  <c:v>554.26219942099999</c:v>
                </c:pt>
                <c:pt idx="8">
                  <c:v>88.681111293000001</c:v>
                </c:pt>
                <c:pt idx="9">
                  <c:v>336.75442972899998</c:v>
                </c:pt>
                <c:pt idx="10">
                  <c:v>647.95887047099995</c:v>
                </c:pt>
                <c:pt idx="11">
                  <c:v>214.41943757999999</c:v>
                </c:pt>
                <c:pt idx="12">
                  <c:v>235.39332517</c:v>
                </c:pt>
                <c:pt idx="13">
                  <c:v>16.392777221999999</c:v>
                </c:pt>
                <c:pt idx="14">
                  <c:v>111.269998375</c:v>
                </c:pt>
                <c:pt idx="15">
                  <c:v>63.693883274999997</c:v>
                </c:pt>
                <c:pt idx="16">
                  <c:v>58.160555846000001</c:v>
                </c:pt>
                <c:pt idx="17">
                  <c:v>267.70665804399999</c:v>
                </c:pt>
                <c:pt idx="18">
                  <c:v>356.540552550999</c:v>
                </c:pt>
                <c:pt idx="19">
                  <c:v>419.72721594900003</c:v>
                </c:pt>
                <c:pt idx="20">
                  <c:v>253.466667304</c:v>
                </c:pt>
                <c:pt idx="21">
                  <c:v>425.585546907999</c:v>
                </c:pt>
                <c:pt idx="22">
                  <c:v>902.92554636099999</c:v>
                </c:pt>
                <c:pt idx="23">
                  <c:v>371.94776493000001</c:v>
                </c:pt>
                <c:pt idx="24">
                  <c:v>429.48776702199899</c:v>
                </c:pt>
                <c:pt idx="25">
                  <c:v>443.122222945999</c:v>
                </c:pt>
                <c:pt idx="26">
                  <c:v>145.569444468</c:v>
                </c:pt>
                <c:pt idx="27">
                  <c:v>269.72555042800002</c:v>
                </c:pt>
                <c:pt idx="28">
                  <c:v>146.764442884</c:v>
                </c:pt>
                <c:pt idx="29">
                  <c:v>138.78166324200001</c:v>
                </c:pt>
                <c:pt idx="30">
                  <c:v>339.799440092</c:v>
                </c:pt>
                <c:pt idx="31">
                  <c:v>360.97166287699901</c:v>
                </c:pt>
                <c:pt idx="32">
                  <c:v>168.90444479600001</c:v>
                </c:pt>
                <c:pt idx="33">
                  <c:v>348.79221297700002</c:v>
                </c:pt>
                <c:pt idx="34">
                  <c:v>235.42332757599999</c:v>
                </c:pt>
                <c:pt idx="35">
                  <c:v>340.11055091700001</c:v>
                </c:pt>
                <c:pt idx="36">
                  <c:v>205.21444356399999</c:v>
                </c:pt>
                <c:pt idx="37">
                  <c:v>217.958327266</c:v>
                </c:pt>
                <c:pt idx="38">
                  <c:v>276.113324197</c:v>
                </c:pt>
                <c:pt idx="39">
                  <c:v>109.74610914199999</c:v>
                </c:pt>
                <c:pt idx="40">
                  <c:v>288.05387944799998</c:v>
                </c:pt>
                <c:pt idx="41">
                  <c:v>321.14943909700003</c:v>
                </c:pt>
                <c:pt idx="42">
                  <c:v>200.09055323300001</c:v>
                </c:pt>
                <c:pt idx="43">
                  <c:v>324.46832791200001</c:v>
                </c:pt>
                <c:pt idx="44">
                  <c:v>464.84443574599999</c:v>
                </c:pt>
                <c:pt idx="45">
                  <c:v>450.514435193</c:v>
                </c:pt>
                <c:pt idx="46">
                  <c:v>442.61165686700002</c:v>
                </c:pt>
                <c:pt idx="47">
                  <c:v>222.137773216</c:v>
                </c:pt>
                <c:pt idx="48">
                  <c:v>125.32777554800001</c:v>
                </c:pt>
                <c:pt idx="49">
                  <c:v>63.389999746999997</c:v>
                </c:pt>
                <c:pt idx="50">
                  <c:v>133.47388682900001</c:v>
                </c:pt>
                <c:pt idx="51">
                  <c:v>228.33388161599899</c:v>
                </c:pt>
                <c:pt idx="52">
                  <c:v>404.54943288200002</c:v>
                </c:pt>
                <c:pt idx="53">
                  <c:v>312.30277080100001</c:v>
                </c:pt>
                <c:pt idx="54">
                  <c:v>263.68555399399997</c:v>
                </c:pt>
                <c:pt idx="55">
                  <c:v>333.02276580400002</c:v>
                </c:pt>
                <c:pt idx="56">
                  <c:v>355.22610942599999</c:v>
                </c:pt>
                <c:pt idx="57">
                  <c:v>336.77222193099999</c:v>
                </c:pt>
                <c:pt idx="58">
                  <c:v>193.67832924799899</c:v>
                </c:pt>
                <c:pt idx="59">
                  <c:v>275.41387805199997</c:v>
                </c:pt>
                <c:pt idx="60">
                  <c:v>200.26721617999999</c:v>
                </c:pt>
                <c:pt idx="61">
                  <c:v>107.69777551599999</c:v>
                </c:pt>
                <c:pt idx="62">
                  <c:v>21.778888254999998</c:v>
                </c:pt>
                <c:pt idx="63">
                  <c:v>335.47665593299899</c:v>
                </c:pt>
                <c:pt idx="64">
                  <c:v>352.2855462</c:v>
                </c:pt>
                <c:pt idx="65">
                  <c:v>333.49665656399998</c:v>
                </c:pt>
                <c:pt idx="66">
                  <c:v>350.391656899</c:v>
                </c:pt>
                <c:pt idx="67">
                  <c:v>159.897220175</c:v>
                </c:pt>
                <c:pt idx="68">
                  <c:v>415.71110349100002</c:v>
                </c:pt>
                <c:pt idx="69">
                  <c:v>373.968875604</c:v>
                </c:pt>
                <c:pt idx="70">
                  <c:v>306.704445873</c:v>
                </c:pt>
                <c:pt idx="71">
                  <c:v>292.32777807799999</c:v>
                </c:pt>
                <c:pt idx="72">
                  <c:v>107.159998203999</c:v>
                </c:pt>
                <c:pt idx="73">
                  <c:v>305.63999243199999</c:v>
                </c:pt>
                <c:pt idx="74">
                  <c:v>234.86166270699999</c:v>
                </c:pt>
                <c:pt idx="75">
                  <c:v>393.96888020199998</c:v>
                </c:pt>
                <c:pt idx="76">
                  <c:v>288.31166898499998</c:v>
                </c:pt>
                <c:pt idx="77">
                  <c:v>291.15277515499997</c:v>
                </c:pt>
                <c:pt idx="78">
                  <c:v>202.18055275899999</c:v>
                </c:pt>
                <c:pt idx="79">
                  <c:v>469.52665865</c:v>
                </c:pt>
                <c:pt idx="80">
                  <c:v>159.18999549599999</c:v>
                </c:pt>
                <c:pt idx="81">
                  <c:v>238.66721550299999</c:v>
                </c:pt>
                <c:pt idx="82">
                  <c:v>240.77610758699899</c:v>
                </c:pt>
                <c:pt idx="83">
                  <c:v>313.40110491199999</c:v>
                </c:pt>
                <c:pt idx="84">
                  <c:v>75.057777758</c:v>
                </c:pt>
                <c:pt idx="85">
                  <c:v>214.27499769299999</c:v>
                </c:pt>
                <c:pt idx="86">
                  <c:v>365.59442201000002</c:v>
                </c:pt>
                <c:pt idx="87">
                  <c:v>102.186110253</c:v>
                </c:pt>
                <c:pt idx="88">
                  <c:v>120.01722327500001</c:v>
                </c:pt>
                <c:pt idx="89">
                  <c:v>175.34777367199999</c:v>
                </c:pt>
                <c:pt idx="90">
                  <c:v>377.95721091299998</c:v>
                </c:pt>
                <c:pt idx="91">
                  <c:v>365.66332667</c:v>
                </c:pt>
                <c:pt idx="92">
                  <c:v>215.851101019</c:v>
                </c:pt>
                <c:pt idx="93">
                  <c:v>349.29499192999998</c:v>
                </c:pt>
                <c:pt idx="94">
                  <c:v>233.066103588</c:v>
                </c:pt>
                <c:pt idx="95">
                  <c:v>243.394998036</c:v>
                </c:pt>
                <c:pt idx="96">
                  <c:v>173.18777263699999</c:v>
                </c:pt>
                <c:pt idx="97">
                  <c:v>224.50166772200001</c:v>
                </c:pt>
                <c:pt idx="98">
                  <c:v>128.82222034099999</c:v>
                </c:pt>
                <c:pt idx="99">
                  <c:v>172.91055360199999</c:v>
                </c:pt>
                <c:pt idx="100">
                  <c:v>98.165552051999995</c:v>
                </c:pt>
                <c:pt idx="101">
                  <c:v>188.887217298</c:v>
                </c:pt>
                <c:pt idx="102">
                  <c:v>294.12110799599998</c:v>
                </c:pt>
                <c:pt idx="103">
                  <c:v>184.76333333299999</c:v>
                </c:pt>
                <c:pt idx="104">
                  <c:v>247.51943659200001</c:v>
                </c:pt>
                <c:pt idx="105">
                  <c:v>242.08499483</c:v>
                </c:pt>
                <c:pt idx="106">
                  <c:v>249.15999542399999</c:v>
                </c:pt>
                <c:pt idx="107">
                  <c:v>182.00832920799999</c:v>
                </c:pt>
                <c:pt idx="108">
                  <c:v>23.027777187000002</c:v>
                </c:pt>
                <c:pt idx="109">
                  <c:v>89.229442599999999</c:v>
                </c:pt>
                <c:pt idx="110">
                  <c:v>41.679999115000001</c:v>
                </c:pt>
                <c:pt idx="111">
                  <c:v>228.770546223</c:v>
                </c:pt>
                <c:pt idx="112">
                  <c:v>370.90109828599998</c:v>
                </c:pt>
                <c:pt idx="113">
                  <c:v>140.05110853899899</c:v>
                </c:pt>
                <c:pt idx="114">
                  <c:v>134.18777245999999</c:v>
                </c:pt>
                <c:pt idx="115">
                  <c:v>220.37110769700001</c:v>
                </c:pt>
                <c:pt idx="116">
                  <c:v>351.61110717899999</c:v>
                </c:pt>
                <c:pt idx="117">
                  <c:v>361.50277644599998</c:v>
                </c:pt>
                <c:pt idx="118">
                  <c:v>480.044995682999</c:v>
                </c:pt>
                <c:pt idx="119">
                  <c:v>200.74054716000001</c:v>
                </c:pt>
                <c:pt idx="120">
                  <c:v>174.15777125400001</c:v>
                </c:pt>
                <c:pt idx="121">
                  <c:v>112.721109641</c:v>
                </c:pt>
                <c:pt idx="122">
                  <c:v>63.023331833999997</c:v>
                </c:pt>
                <c:pt idx="123">
                  <c:v>109.333332422</c:v>
                </c:pt>
                <c:pt idx="124">
                  <c:v>217.94666069199999</c:v>
                </c:pt>
                <c:pt idx="125">
                  <c:v>284.34166268000001</c:v>
                </c:pt>
                <c:pt idx="126">
                  <c:v>242.813329646</c:v>
                </c:pt>
                <c:pt idx="127">
                  <c:v>269.66943805599999</c:v>
                </c:pt>
                <c:pt idx="128">
                  <c:v>295.16888306099997</c:v>
                </c:pt>
                <c:pt idx="129">
                  <c:v>295.58332630699999</c:v>
                </c:pt>
                <c:pt idx="130">
                  <c:v>268.94610769899998</c:v>
                </c:pt>
                <c:pt idx="131">
                  <c:v>193.14888768200001</c:v>
                </c:pt>
                <c:pt idx="132">
                  <c:v>98.541108726000004</c:v>
                </c:pt>
                <c:pt idx="133">
                  <c:v>194.15443961</c:v>
                </c:pt>
                <c:pt idx="134">
                  <c:v>68.941109384000001</c:v>
                </c:pt>
                <c:pt idx="135">
                  <c:v>237.65443988199999</c:v>
                </c:pt>
                <c:pt idx="136">
                  <c:v>144.31999611500001</c:v>
                </c:pt>
                <c:pt idx="137">
                  <c:v>75.992220974000006</c:v>
                </c:pt>
                <c:pt idx="138">
                  <c:v>199.632219483</c:v>
                </c:pt>
                <c:pt idx="139">
                  <c:v>159.27888695600001</c:v>
                </c:pt>
                <c:pt idx="140">
                  <c:v>506.95775703200002</c:v>
                </c:pt>
                <c:pt idx="141">
                  <c:v>300.01443688199998</c:v>
                </c:pt>
                <c:pt idx="142">
                  <c:v>338.80054827200001</c:v>
                </c:pt>
                <c:pt idx="143">
                  <c:v>314.01332564199998</c:v>
                </c:pt>
                <c:pt idx="144">
                  <c:v>85.969445409999906</c:v>
                </c:pt>
                <c:pt idx="145">
                  <c:v>59.579442774</c:v>
                </c:pt>
                <c:pt idx="146">
                  <c:v>240.59887974699899</c:v>
                </c:pt>
                <c:pt idx="147">
                  <c:v>146.44444116700001</c:v>
                </c:pt>
                <c:pt idx="148">
                  <c:v>35.125554483999998</c:v>
                </c:pt>
                <c:pt idx="149">
                  <c:v>445.38165714799999</c:v>
                </c:pt>
                <c:pt idx="150">
                  <c:v>395.81554868500001</c:v>
                </c:pt>
                <c:pt idx="151">
                  <c:v>302.029998492</c:v>
                </c:pt>
                <c:pt idx="152">
                  <c:v>404.82888208700001</c:v>
                </c:pt>
                <c:pt idx="153">
                  <c:v>288.89777516100003</c:v>
                </c:pt>
                <c:pt idx="154">
                  <c:v>407.330543541</c:v>
                </c:pt>
                <c:pt idx="155">
                  <c:v>126.67443961399999</c:v>
                </c:pt>
                <c:pt idx="156">
                  <c:v>157.31110673699999</c:v>
                </c:pt>
                <c:pt idx="157">
                  <c:v>207.713880983</c:v>
                </c:pt>
                <c:pt idx="158">
                  <c:v>389.85666783400001</c:v>
                </c:pt>
                <c:pt idx="159">
                  <c:v>58.368331734999998</c:v>
                </c:pt>
                <c:pt idx="160">
                  <c:v>301.98332063700002</c:v>
                </c:pt>
                <c:pt idx="161">
                  <c:v>254.60609818699999</c:v>
                </c:pt>
                <c:pt idx="162">
                  <c:v>555.09000166999999</c:v>
                </c:pt>
                <c:pt idx="163">
                  <c:v>345.55777024100001</c:v>
                </c:pt>
                <c:pt idx="164">
                  <c:v>203.45166590599999</c:v>
                </c:pt>
                <c:pt idx="165">
                  <c:v>334.374438502999</c:v>
                </c:pt>
                <c:pt idx="166">
                  <c:v>425.45609277</c:v>
                </c:pt>
                <c:pt idx="167">
                  <c:v>249.83221503199999</c:v>
                </c:pt>
                <c:pt idx="168">
                  <c:v>96.126110093999998</c:v>
                </c:pt>
                <c:pt idx="169">
                  <c:v>61.430554045000001</c:v>
                </c:pt>
                <c:pt idx="170">
                  <c:v>257.17499514500003</c:v>
                </c:pt>
                <c:pt idx="171">
                  <c:v>253.901664119</c:v>
                </c:pt>
                <c:pt idx="172">
                  <c:v>95.660553128000004</c:v>
                </c:pt>
                <c:pt idx="173">
                  <c:v>151.207216085</c:v>
                </c:pt>
                <c:pt idx="174">
                  <c:v>197.31332458899999</c:v>
                </c:pt>
                <c:pt idx="175">
                  <c:v>199.92333035499999</c:v>
                </c:pt>
                <c:pt idx="176">
                  <c:v>269.57554800700001</c:v>
                </c:pt>
                <c:pt idx="177">
                  <c:v>101.133886995</c:v>
                </c:pt>
                <c:pt idx="178">
                  <c:v>290.84277089800003</c:v>
                </c:pt>
                <c:pt idx="179">
                  <c:v>113.18110941499999</c:v>
                </c:pt>
                <c:pt idx="180">
                  <c:v>60.482221476999896</c:v>
                </c:pt>
                <c:pt idx="181">
                  <c:v>210.29221234799999</c:v>
                </c:pt>
                <c:pt idx="182">
                  <c:v>68.802221329999995</c:v>
                </c:pt>
                <c:pt idx="183">
                  <c:v>166.980554187</c:v>
                </c:pt>
                <c:pt idx="184">
                  <c:v>216.89610533000001</c:v>
                </c:pt>
                <c:pt idx="185">
                  <c:v>297.22054935400001</c:v>
                </c:pt>
                <c:pt idx="186">
                  <c:v>239.043330715</c:v>
                </c:pt>
                <c:pt idx="187">
                  <c:v>236.019991946</c:v>
                </c:pt>
                <c:pt idx="188">
                  <c:v>254.731660742</c:v>
                </c:pt>
                <c:pt idx="189">
                  <c:v>227.192215543</c:v>
                </c:pt>
                <c:pt idx="190">
                  <c:v>481.72664773100001</c:v>
                </c:pt>
                <c:pt idx="191">
                  <c:v>112.181663696</c:v>
                </c:pt>
                <c:pt idx="192">
                  <c:v>137.42277257000001</c:v>
                </c:pt>
                <c:pt idx="193">
                  <c:v>289.356661299</c:v>
                </c:pt>
                <c:pt idx="194">
                  <c:v>200.419440616</c:v>
                </c:pt>
                <c:pt idx="195">
                  <c:v>503.920546828</c:v>
                </c:pt>
                <c:pt idx="196">
                  <c:v>153.38333066800001</c:v>
                </c:pt>
                <c:pt idx="197">
                  <c:v>196.15277077799999</c:v>
                </c:pt>
                <c:pt idx="198">
                  <c:v>395.536660434</c:v>
                </c:pt>
                <c:pt idx="199">
                  <c:v>216.32999205799999</c:v>
                </c:pt>
                <c:pt idx="200">
                  <c:v>519.612200562</c:v>
                </c:pt>
                <c:pt idx="201">
                  <c:v>247.48387693699999</c:v>
                </c:pt>
                <c:pt idx="202">
                  <c:v>295.18443658899997</c:v>
                </c:pt>
                <c:pt idx="203">
                  <c:v>148.99333651500001</c:v>
                </c:pt>
                <c:pt idx="204">
                  <c:v>186.73777639299999</c:v>
                </c:pt>
                <c:pt idx="205">
                  <c:v>82.286665190999997</c:v>
                </c:pt>
                <c:pt idx="206">
                  <c:v>582.61609744099997</c:v>
                </c:pt>
                <c:pt idx="207">
                  <c:v>298.59665699599998</c:v>
                </c:pt>
                <c:pt idx="208">
                  <c:v>369.763884552999</c:v>
                </c:pt>
                <c:pt idx="209">
                  <c:v>244.121655906</c:v>
                </c:pt>
                <c:pt idx="210">
                  <c:v>249.622774902</c:v>
                </c:pt>
                <c:pt idx="211">
                  <c:v>505.18609762699998</c:v>
                </c:pt>
                <c:pt idx="212">
                  <c:v>280.62999452499997</c:v>
                </c:pt>
                <c:pt idx="213">
                  <c:v>268.32109568300001</c:v>
                </c:pt>
                <c:pt idx="214">
                  <c:v>122.06833188399899</c:v>
                </c:pt>
                <c:pt idx="215">
                  <c:v>166.259440152</c:v>
                </c:pt>
                <c:pt idx="216">
                  <c:v>39.152221929999897</c:v>
                </c:pt>
                <c:pt idx="217">
                  <c:v>93.637776251000005</c:v>
                </c:pt>
                <c:pt idx="218">
                  <c:v>10.972777563999999</c:v>
                </c:pt>
                <c:pt idx="219">
                  <c:v>22.799443705999899</c:v>
                </c:pt>
                <c:pt idx="220">
                  <c:v>251.059993316</c:v>
                </c:pt>
                <c:pt idx="221">
                  <c:v>259.30721516400001</c:v>
                </c:pt>
                <c:pt idx="222">
                  <c:v>279.49165702599998</c:v>
                </c:pt>
                <c:pt idx="223">
                  <c:v>227.27221700699999</c:v>
                </c:pt>
                <c:pt idx="224">
                  <c:v>170.587771976</c:v>
                </c:pt>
                <c:pt idx="225">
                  <c:v>404.36221307699998</c:v>
                </c:pt>
                <c:pt idx="226">
                  <c:v>285.93499053800002</c:v>
                </c:pt>
                <c:pt idx="227">
                  <c:v>287.57721619199998</c:v>
                </c:pt>
                <c:pt idx="228">
                  <c:v>232.84999845900001</c:v>
                </c:pt>
                <c:pt idx="229">
                  <c:v>166.34388525399899</c:v>
                </c:pt>
                <c:pt idx="230">
                  <c:v>207.14888335099999</c:v>
                </c:pt>
                <c:pt idx="231">
                  <c:v>109.689440042</c:v>
                </c:pt>
                <c:pt idx="232">
                  <c:v>79.284441947999994</c:v>
                </c:pt>
                <c:pt idx="233">
                  <c:v>305.06443898700002</c:v>
                </c:pt>
                <c:pt idx="234">
                  <c:v>307.30666461700002</c:v>
                </c:pt>
                <c:pt idx="235">
                  <c:v>343.23887984300001</c:v>
                </c:pt>
                <c:pt idx="236">
                  <c:v>369.94054946900002</c:v>
                </c:pt>
                <c:pt idx="237">
                  <c:v>421.89443332100001</c:v>
                </c:pt>
                <c:pt idx="238">
                  <c:v>162.46388742100001</c:v>
                </c:pt>
                <c:pt idx="239">
                  <c:v>336.647774615</c:v>
                </c:pt>
                <c:pt idx="240">
                  <c:v>189.33944213800001</c:v>
                </c:pt>
                <c:pt idx="241">
                  <c:v>143.299439049</c:v>
                </c:pt>
                <c:pt idx="242">
                  <c:v>392.76999164400002</c:v>
                </c:pt>
                <c:pt idx="243">
                  <c:v>421.87777522800002</c:v>
                </c:pt>
                <c:pt idx="244">
                  <c:v>312.32332610999998</c:v>
                </c:pt>
                <c:pt idx="245">
                  <c:v>280.50110725899998</c:v>
                </c:pt>
                <c:pt idx="246">
                  <c:v>371.927774629</c:v>
                </c:pt>
                <c:pt idx="247">
                  <c:v>374.098318632999</c:v>
                </c:pt>
                <c:pt idx="248">
                  <c:v>289.43998470100001</c:v>
                </c:pt>
                <c:pt idx="249">
                  <c:v>217.578327917</c:v>
                </c:pt>
                <c:pt idx="250">
                  <c:v>256.68277495400002</c:v>
                </c:pt>
                <c:pt idx="251">
                  <c:v>230.62888282899999</c:v>
                </c:pt>
                <c:pt idx="252">
                  <c:v>164.03166311300001</c:v>
                </c:pt>
                <c:pt idx="253">
                  <c:v>90.271108232000003</c:v>
                </c:pt>
                <c:pt idx="254">
                  <c:v>130.10555377</c:v>
                </c:pt>
                <c:pt idx="255">
                  <c:v>61.702775830999997</c:v>
                </c:pt>
                <c:pt idx="256">
                  <c:v>287.35277083599999</c:v>
                </c:pt>
                <c:pt idx="257">
                  <c:v>241.959434888</c:v>
                </c:pt>
                <c:pt idx="258">
                  <c:v>150.83999361299999</c:v>
                </c:pt>
                <c:pt idx="259">
                  <c:v>296.599437954</c:v>
                </c:pt>
                <c:pt idx="260">
                  <c:v>334.554996915</c:v>
                </c:pt>
                <c:pt idx="261">
                  <c:v>286.50610963100002</c:v>
                </c:pt>
                <c:pt idx="262">
                  <c:v>357.484442366</c:v>
                </c:pt>
                <c:pt idx="263">
                  <c:v>232.73999788099999</c:v>
                </c:pt>
                <c:pt idx="264">
                  <c:v>122.95944125699999</c:v>
                </c:pt>
                <c:pt idx="265">
                  <c:v>295.729998088</c:v>
                </c:pt>
                <c:pt idx="266">
                  <c:v>147.410552172</c:v>
                </c:pt>
                <c:pt idx="267">
                  <c:v>283.445543886</c:v>
                </c:pt>
                <c:pt idx="268">
                  <c:v>292.39776901299899</c:v>
                </c:pt>
                <c:pt idx="269">
                  <c:v>329.34721418499998</c:v>
                </c:pt>
                <c:pt idx="270">
                  <c:v>276.59054670900002</c:v>
                </c:pt>
                <c:pt idx="271">
                  <c:v>228.749998146</c:v>
                </c:pt>
                <c:pt idx="272">
                  <c:v>257.89110578899999</c:v>
                </c:pt>
                <c:pt idx="273">
                  <c:v>455.40887599500002</c:v>
                </c:pt>
                <c:pt idx="274">
                  <c:v>308.45054376100001</c:v>
                </c:pt>
                <c:pt idx="275">
                  <c:v>440.396654089999</c:v>
                </c:pt>
                <c:pt idx="276">
                  <c:v>96.341110172</c:v>
                </c:pt>
                <c:pt idx="277">
                  <c:v>84.039439904000005</c:v>
                </c:pt>
                <c:pt idx="278">
                  <c:v>251.09498789099999</c:v>
                </c:pt>
                <c:pt idx="279">
                  <c:v>319.45277235600003</c:v>
                </c:pt>
                <c:pt idx="280">
                  <c:v>561.27498414599995</c:v>
                </c:pt>
                <c:pt idx="281">
                  <c:v>125.853329942</c:v>
                </c:pt>
                <c:pt idx="282">
                  <c:v>183.517773748</c:v>
                </c:pt>
                <c:pt idx="283">
                  <c:v>266.219996541</c:v>
                </c:pt>
                <c:pt idx="284">
                  <c:v>304.287769642</c:v>
                </c:pt>
                <c:pt idx="285">
                  <c:v>356.333323565</c:v>
                </c:pt>
                <c:pt idx="286">
                  <c:v>430.42887912999998</c:v>
                </c:pt>
                <c:pt idx="287">
                  <c:v>207.06721748800001</c:v>
                </c:pt>
                <c:pt idx="288">
                  <c:v>53.123332163000001</c:v>
                </c:pt>
                <c:pt idx="289">
                  <c:v>211.614438452</c:v>
                </c:pt>
                <c:pt idx="290">
                  <c:v>386.841654884999</c:v>
                </c:pt>
                <c:pt idx="291">
                  <c:v>507.566099395999</c:v>
                </c:pt>
                <c:pt idx="292">
                  <c:v>150.97721821499999</c:v>
                </c:pt>
                <c:pt idx="293">
                  <c:v>205.168885249</c:v>
                </c:pt>
                <c:pt idx="294">
                  <c:v>328.43276423399999</c:v>
                </c:pt>
                <c:pt idx="295">
                  <c:v>250.45776989999999</c:v>
                </c:pt>
                <c:pt idx="296">
                  <c:v>378.328328532</c:v>
                </c:pt>
                <c:pt idx="297">
                  <c:v>344.13832944900003</c:v>
                </c:pt>
                <c:pt idx="298">
                  <c:v>344.93721363200001</c:v>
                </c:pt>
                <c:pt idx="299">
                  <c:v>134.18277500900001</c:v>
                </c:pt>
                <c:pt idx="300">
                  <c:v>203.41444210700001</c:v>
                </c:pt>
                <c:pt idx="301">
                  <c:v>123.51777361000001</c:v>
                </c:pt>
                <c:pt idx="302">
                  <c:v>220.32277509799999</c:v>
                </c:pt>
                <c:pt idx="303">
                  <c:v>348.96610705500001</c:v>
                </c:pt>
                <c:pt idx="304">
                  <c:v>207.68888187300001</c:v>
                </c:pt>
                <c:pt idx="305">
                  <c:v>341.86998933299998</c:v>
                </c:pt>
                <c:pt idx="306">
                  <c:v>179.947214739</c:v>
                </c:pt>
                <c:pt idx="307">
                  <c:v>207.34777383400001</c:v>
                </c:pt>
                <c:pt idx="308">
                  <c:v>173.51332882099999</c:v>
                </c:pt>
                <c:pt idx="309">
                  <c:v>286.66554385000001</c:v>
                </c:pt>
                <c:pt idx="310">
                  <c:v>391.41610694399998</c:v>
                </c:pt>
                <c:pt idx="311">
                  <c:v>274.565550720999</c:v>
                </c:pt>
                <c:pt idx="312">
                  <c:v>111.88666119299999</c:v>
                </c:pt>
                <c:pt idx="313">
                  <c:v>126.75166242</c:v>
                </c:pt>
                <c:pt idx="314">
                  <c:v>20.193888418</c:v>
                </c:pt>
                <c:pt idx="315">
                  <c:v>213.16277302699999</c:v>
                </c:pt>
                <c:pt idx="316">
                  <c:v>428.41220843399998</c:v>
                </c:pt>
                <c:pt idx="317">
                  <c:v>264.60999078999998</c:v>
                </c:pt>
                <c:pt idx="318">
                  <c:v>355.312764079999</c:v>
                </c:pt>
                <c:pt idx="319">
                  <c:v>244.371100017</c:v>
                </c:pt>
                <c:pt idx="320">
                  <c:v>377.04665954799998</c:v>
                </c:pt>
                <c:pt idx="321">
                  <c:v>243.19332924400001</c:v>
                </c:pt>
                <c:pt idx="322">
                  <c:v>436.447762173</c:v>
                </c:pt>
                <c:pt idx="323">
                  <c:v>241.77499552099999</c:v>
                </c:pt>
                <c:pt idx="324">
                  <c:v>33.147221625</c:v>
                </c:pt>
                <c:pt idx="325">
                  <c:v>171.48277583399999</c:v>
                </c:pt>
                <c:pt idx="326">
                  <c:v>52.127221098999897</c:v>
                </c:pt>
                <c:pt idx="327">
                  <c:v>146.62722020199999</c:v>
                </c:pt>
                <c:pt idx="328">
                  <c:v>116.257777058999</c:v>
                </c:pt>
                <c:pt idx="329">
                  <c:v>321.43055294200002</c:v>
                </c:pt>
                <c:pt idx="330">
                  <c:v>475.62776901400002</c:v>
                </c:pt>
                <c:pt idx="331">
                  <c:v>337.91110599799998</c:v>
                </c:pt>
                <c:pt idx="332">
                  <c:v>407.62888547400001</c:v>
                </c:pt>
              </c:numCache>
            </c:numRef>
          </c:val>
          <c:extLst>
            <c:ext xmlns:c16="http://schemas.microsoft.com/office/drawing/2014/chart" uri="{C3380CC4-5D6E-409C-BE32-E72D297353CC}">
              <c16:uniqueId val="{00000000-C3F2-413D-96F4-3D4E352C6F18}"/>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3669829732823"/>
          <c:y val="0.10320278914479029"/>
          <c:w val="0.86016202301635369"/>
          <c:h val="0.69859106763710821"/>
        </c:manualLayout>
      </c:layout>
      <c:barChart>
        <c:barDir val="col"/>
        <c:grouping val="clustered"/>
        <c:varyColors val="0"/>
        <c:ser>
          <c:idx val="0"/>
          <c:order val="0"/>
          <c:tx>
            <c:strRef>
              <c:f>Majuro!$M$1</c:f>
              <c:strCache>
                <c:ptCount val="1"/>
                <c:pt idx="0">
                  <c:v>IMERG (P)</c:v>
                </c:pt>
              </c:strCache>
            </c:strRef>
          </c:tx>
          <c:spPr>
            <a:solidFill>
              <a:schemeClr val="accent1">
                <a:lumMod val="60000"/>
                <a:lumOff val="40000"/>
              </a:schemeClr>
            </a:solidFill>
            <a:ln>
              <a:solidFill>
                <a:schemeClr val="bg1">
                  <a:lumMod val="95000"/>
                </a:schemeClr>
              </a:solidFill>
            </a:ln>
            <a:effectLst/>
          </c:spPr>
          <c:invertIfNegative val="0"/>
          <c:dLbls>
            <c:delete val="1"/>
          </c:dLbls>
          <c:cat>
            <c:numRef>
              <c:f>Majuro!$L$3:$L$29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Majuro!$M$3:$M$29</c:f>
              <c:numCache>
                <c:formatCode>General</c:formatCode>
                <c:ptCount val="27"/>
                <c:pt idx="0">
                  <c:v>2463.6771456239999</c:v>
                </c:pt>
                <c:pt idx="1">
                  <c:v>3482.8104919349998</c:v>
                </c:pt>
                <c:pt idx="2">
                  <c:v>3367.4527302249999</c:v>
                </c:pt>
                <c:pt idx="3">
                  <c:v>3522.9027048809999</c:v>
                </c:pt>
                <c:pt idx="4">
                  <c:v>3025.1766058779999</c:v>
                </c:pt>
                <c:pt idx="5">
                  <c:v>3250.0038187679902</c:v>
                </c:pt>
                <c:pt idx="6">
                  <c:v>3244.8366125920002</c:v>
                </c:pt>
                <c:pt idx="7">
                  <c:v>2837.706036817</c:v>
                </c:pt>
                <c:pt idx="8">
                  <c:v>2386.132181035</c:v>
                </c:pt>
                <c:pt idx="9">
                  <c:v>2642.1182785750002</c:v>
                </c:pt>
                <c:pt idx="10">
                  <c:v>2526.8538409739999</c:v>
                </c:pt>
                <c:pt idx="11">
                  <c:v>2638.3004889580002</c:v>
                </c:pt>
                <c:pt idx="12">
                  <c:v>2938.6766083100001</c:v>
                </c:pt>
                <c:pt idx="13">
                  <c:v>3483.601590235</c:v>
                </c:pt>
                <c:pt idx="14">
                  <c:v>2087.4710628749999</c:v>
                </c:pt>
                <c:pt idx="15">
                  <c:v>2571.569374399</c:v>
                </c:pt>
                <c:pt idx="16">
                  <c:v>3303.7960258540002</c:v>
                </c:pt>
                <c:pt idx="17">
                  <c:v>3356.2104712529999</c:v>
                </c:pt>
                <c:pt idx="18">
                  <c:v>2332.155493747</c:v>
                </c:pt>
                <c:pt idx="19">
                  <c:v>3041.8732773269999</c:v>
                </c:pt>
                <c:pt idx="20">
                  <c:v>3480.467145091</c:v>
                </c:pt>
                <c:pt idx="21">
                  <c:v>2634.1482850299999</c:v>
                </c:pt>
                <c:pt idx="22">
                  <c:v>3438.7782430910001</c:v>
                </c:pt>
                <c:pt idx="23">
                  <c:v>3185.9115845249999</c:v>
                </c:pt>
                <c:pt idx="24">
                  <c:v>3295.7688091159998</c:v>
                </c:pt>
                <c:pt idx="25">
                  <c:v>2959.235487985</c:v>
                </c:pt>
                <c:pt idx="26">
                  <c:v>3063.163794865</c:v>
                </c:pt>
              </c:numCache>
            </c:numRef>
          </c:val>
          <c:extLst>
            <c:ext xmlns:c16="http://schemas.microsoft.com/office/drawing/2014/chart" uri="{C3380CC4-5D6E-409C-BE32-E72D297353CC}">
              <c16:uniqueId val="{00000000-6443-4731-A625-F10EB207AA63}"/>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5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Majuro!$I$1</c:f>
              <c:strCache>
                <c:ptCount val="1"/>
                <c:pt idx="0">
                  <c:v>IMERG</c:v>
                </c:pt>
              </c:strCache>
            </c:strRef>
          </c:tx>
          <c:spPr>
            <a:pattFill prst="ltDnDiag">
              <a:fgClr>
                <a:srgbClr val="002060"/>
              </a:fgClr>
              <a:bgClr>
                <a:schemeClr val="bg1"/>
              </a:bgClr>
            </a:pattFill>
            <a:ln>
              <a:noFill/>
            </a:ln>
            <a:effectLst/>
          </c:spPr>
          <c:val>
            <c:numRef>
              <c:f>Majuro!$I$3:$I$14</c:f>
              <c:numCache>
                <c:formatCode>0.00</c:formatCode>
                <c:ptCount val="12"/>
                <c:pt idx="0">
                  <c:v>141.94308613171989</c:v>
                </c:pt>
                <c:pt idx="1">
                  <c:v>168.74219652291993</c:v>
                </c:pt>
                <c:pt idx="2">
                  <c:v>188.92400777211103</c:v>
                </c:pt>
                <c:pt idx="3">
                  <c:v>221.21526261407396</c:v>
                </c:pt>
                <c:pt idx="4">
                  <c:v>234.08421223599993</c:v>
                </c:pt>
                <c:pt idx="5">
                  <c:v>248.03875894877768</c:v>
                </c:pt>
                <c:pt idx="6">
                  <c:v>285.89162003618509</c:v>
                </c:pt>
                <c:pt idx="7">
                  <c:v>298.70462281829617</c:v>
                </c:pt>
                <c:pt idx="8">
                  <c:v>300.4278740613704</c:v>
                </c:pt>
                <c:pt idx="9">
                  <c:v>316.40811996707401</c:v>
                </c:pt>
                <c:pt idx="10">
                  <c:v>353.22042440670361</c:v>
                </c:pt>
                <c:pt idx="11">
                  <c:v>239.47287571048139</c:v>
                </c:pt>
              </c:numCache>
            </c:numRef>
          </c:val>
          <c:extLst>
            <c:ext xmlns:c16="http://schemas.microsoft.com/office/drawing/2014/chart" uri="{C3380CC4-5D6E-409C-BE32-E72D297353CC}">
              <c16:uniqueId val="{00000000-1D28-437D-B956-BC31D06DA5E4}"/>
            </c:ext>
          </c:extLst>
        </c:ser>
        <c:ser>
          <c:idx val="1"/>
          <c:order val="1"/>
          <c:tx>
            <c:strRef>
              <c:f>Majuro!$J$1</c:f>
              <c:strCache>
                <c:ptCount val="1"/>
                <c:pt idx="0">
                  <c:v>SSEBop</c:v>
                </c:pt>
              </c:strCache>
            </c:strRef>
          </c:tx>
          <c:spPr>
            <a:solidFill>
              <a:schemeClr val="accent3">
                <a:lumMod val="75000"/>
              </a:schemeClr>
            </a:solidFill>
            <a:ln>
              <a:solidFill>
                <a:schemeClr val="accent3">
                  <a:lumMod val="75000"/>
                </a:schemeClr>
              </a:solidFill>
            </a:ln>
            <a:effectLst/>
          </c:spPr>
          <c:val>
            <c:numRef>
              <c:f>Majuro!$J$3:$J$14</c:f>
              <c:numCache>
                <c:formatCode>0.00</c:formatCode>
                <c:ptCount val="12"/>
                <c:pt idx="0">
                  <c:v>108.76537216828417</c:v>
                </c:pt>
                <c:pt idx="1">
                  <c:v>117.40544571535816</c:v>
                </c:pt>
                <c:pt idx="2">
                  <c:v>122.17102315160524</c:v>
                </c:pt>
                <c:pt idx="3">
                  <c:v>119.10306198655661</c:v>
                </c:pt>
                <c:pt idx="4">
                  <c:v>111.87528005974561</c:v>
                </c:pt>
                <c:pt idx="5">
                  <c:v>112.61389096340501</c:v>
                </c:pt>
                <c:pt idx="6">
                  <c:v>117.05750560119428</c:v>
                </c:pt>
                <c:pt idx="7">
                  <c:v>118.05974607916308</c:v>
                </c:pt>
                <c:pt idx="8">
                  <c:v>113.20238984316606</c:v>
                </c:pt>
                <c:pt idx="9">
                  <c:v>111.96265870052223</c:v>
                </c:pt>
                <c:pt idx="10">
                  <c:v>100.88424197162014</c:v>
                </c:pt>
                <c:pt idx="11">
                  <c:v>103.29424943988008</c:v>
                </c:pt>
              </c:numCache>
            </c:numRef>
          </c:val>
          <c:extLst>
            <c:ext xmlns:c16="http://schemas.microsoft.com/office/drawing/2014/chart" uri="{C3380CC4-5D6E-409C-BE32-E72D297353CC}">
              <c16:uniqueId val="{00000001-1D28-437D-B956-BC31D06DA5E4}"/>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7821185813311796E-2"/>
              <c:y val="0.2100480384307446"/>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Majuro!$N$1</c:f>
              <c:strCache>
                <c:ptCount val="1"/>
                <c:pt idx="0">
                  <c:v>SSEBop (ETa)</c:v>
                </c:pt>
              </c:strCache>
            </c:strRef>
          </c:tx>
          <c:spPr>
            <a:solidFill>
              <a:schemeClr val="accent3">
                <a:lumMod val="75000"/>
              </a:schemeClr>
            </a:solidFill>
            <a:ln w="9525" cap="flat" cmpd="sng" algn="ctr">
              <a:solidFill>
                <a:schemeClr val="bg1"/>
              </a:solidFill>
              <a:round/>
            </a:ln>
            <a:effectLst/>
          </c:spPr>
          <c:invertIfNegative val="0"/>
          <c:dLbls>
            <c:delete val="1"/>
          </c:dLbls>
          <c:cat>
            <c:numRef>
              <c:f>Majuro!$L$18:$L$30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Majuro!$N$18:$N$30</c:f>
              <c:numCache>
                <c:formatCode>General</c:formatCode>
                <c:ptCount val="13"/>
                <c:pt idx="0">
                  <c:v>1344</c:v>
                </c:pt>
                <c:pt idx="1">
                  <c:v>1347</c:v>
                </c:pt>
                <c:pt idx="2">
                  <c:v>1344</c:v>
                </c:pt>
                <c:pt idx="3">
                  <c:v>1363</c:v>
                </c:pt>
                <c:pt idx="4">
                  <c:v>1347</c:v>
                </c:pt>
                <c:pt idx="5">
                  <c:v>1348</c:v>
                </c:pt>
                <c:pt idx="6">
                  <c:v>1345</c:v>
                </c:pt>
                <c:pt idx="7">
                  <c:v>1346</c:v>
                </c:pt>
                <c:pt idx="8">
                  <c:v>1349</c:v>
                </c:pt>
                <c:pt idx="9">
                  <c:v>1342</c:v>
                </c:pt>
                <c:pt idx="10">
                  <c:v>1347</c:v>
                </c:pt>
                <c:pt idx="11">
                  <c:v>1348</c:v>
                </c:pt>
                <c:pt idx="12">
                  <c:v>1353</c:v>
                </c:pt>
              </c:numCache>
            </c:numRef>
          </c:val>
          <c:extLst>
            <c:ext xmlns:c16="http://schemas.microsoft.com/office/drawing/2014/chart" uri="{C3380CC4-5D6E-409C-BE32-E72D297353CC}">
              <c16:uniqueId val="{00000000-0736-4D1D-BFF5-A572259C3C86}"/>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r>
                  <a:rPr lang="en-US" sz="11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5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Majuro!$F$172</c:f>
              <c:strCache>
                <c:ptCount val="1"/>
                <c:pt idx="0">
                  <c:v>-46.00</c:v>
                </c:pt>
              </c:strCache>
            </c:strRef>
          </c:tx>
          <c:spPr>
            <a:solidFill>
              <a:srgbClr val="002060"/>
            </a:solidFill>
            <a:ln>
              <a:noFill/>
            </a:ln>
            <a:effectLst/>
          </c:spPr>
          <c:invertIfNegative val="0"/>
          <c:cat>
            <c:strRef>
              <c:f>Majuro!$A$172:$A$335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Majuro!$F$172:$F$335</c:f>
              <c:numCache>
                <c:formatCode>0.00</c:formatCode>
                <c:ptCount val="164"/>
                <c:pt idx="0">
                  <c:v>-45.996630421018999</c:v>
                </c:pt>
                <c:pt idx="1">
                  <c:v>137.02936407703902</c:v>
                </c:pt>
                <c:pt idx="2">
                  <c:v>134.11525635201002</c:v>
                </c:pt>
                <c:pt idx="3">
                  <c:v>-15.766631338018996</c:v>
                </c:pt>
                <c:pt idx="4">
                  <c:v>38.867410259758003</c:v>
                </c:pt>
                <c:pt idx="5">
                  <c:v>80.216237210359992</c:v>
                </c:pt>
                <c:pt idx="6">
                  <c:v>75.234009966650987</c:v>
                </c:pt>
                <c:pt idx="7">
                  <c:v>153.18719849243701</c:v>
                </c:pt>
                <c:pt idx="8">
                  <c:v>-10.671938247718003</c:v>
                </c:pt>
                <c:pt idx="9">
                  <c:v>189.97869322809802</c:v>
                </c:pt>
                <c:pt idx="10">
                  <c:v>9.7733424247089999</c:v>
                </c:pt>
                <c:pt idx="11">
                  <c:v>-47.372147455038103</c:v>
                </c:pt>
                <c:pt idx="12">
                  <c:v>102.59318322178699</c:v>
                </c:pt>
                <c:pt idx="13">
                  <c:v>-52.246322359320004</c:v>
                </c:pt>
                <c:pt idx="14">
                  <c:v>49.320360012243</c:v>
                </c:pt>
                <c:pt idx="15">
                  <c:v>105.20678494165101</c:v>
                </c:pt>
                <c:pt idx="16">
                  <c:v>184.803073625845</c:v>
                </c:pt>
                <c:pt idx="17">
                  <c:v>121.324884113059</c:v>
                </c:pt>
                <c:pt idx="18">
                  <c:v>117.54426379066101</c:v>
                </c:pt>
                <c:pt idx="19">
                  <c:v>141.877291809962</c:v>
                </c:pt>
                <c:pt idx="20">
                  <c:v>114.803866028437</c:v>
                </c:pt>
                <c:pt idx="21">
                  <c:v>381.08587103197101</c:v>
                </c:pt>
                <c:pt idx="22">
                  <c:v>8.6379743756120035</c:v>
                </c:pt>
                <c:pt idx="23">
                  <c:v>28.626656065146008</c:v>
                </c:pt>
                <c:pt idx="24">
                  <c:v>181.36637003686499</c:v>
                </c:pt>
                <c:pt idx="25">
                  <c:v>77.613615373282002</c:v>
                </c:pt>
                <c:pt idx="26">
                  <c:v>384.33802255615603</c:v>
                </c:pt>
                <c:pt idx="27">
                  <c:v>40.48041804664102</c:v>
                </c:pt>
                <c:pt idx="28">
                  <c:v>83.04597466149599</c:v>
                </c:pt>
                <c:pt idx="29">
                  <c:v>279.02209732720399</c:v>
                </c:pt>
                <c:pt idx="30">
                  <c:v>99.203778465766987</c:v>
                </c:pt>
                <c:pt idx="31">
                  <c:v>406.03938502801998</c:v>
                </c:pt>
                <c:pt idx="32">
                  <c:v>136.027566257389</c:v>
                </c:pt>
                <c:pt idx="33">
                  <c:v>194.40773755987396</c:v>
                </c:pt>
                <c:pt idx="34">
                  <c:v>46.168093796554004</c:v>
                </c:pt>
                <c:pt idx="35">
                  <c:v>78.019329791058993</c:v>
                </c:pt>
                <c:pt idx="36">
                  <c:v>-25.150228012883005</c:v>
                </c:pt>
                <c:pt idx="37">
                  <c:v>460.59667996527196</c:v>
                </c:pt>
                <c:pt idx="38">
                  <c:v>179.81995796687397</c:v>
                </c:pt>
                <c:pt idx="39">
                  <c:v>257.89009814523297</c:v>
                </c:pt>
                <c:pt idx="40">
                  <c:v>131.354665614738</c:v>
                </c:pt>
                <c:pt idx="41">
                  <c:v>132.40918266899101</c:v>
                </c:pt>
                <c:pt idx="42">
                  <c:v>387.77833063670897</c:v>
                </c:pt>
                <c:pt idx="43">
                  <c:v>168.13484889393297</c:v>
                </c:pt>
                <c:pt idx="44">
                  <c:v>156.83565878979701</c:v>
                </c:pt>
                <c:pt idx="45">
                  <c:v>20.69939984516499</c:v>
                </c:pt>
                <c:pt idx="46">
                  <c:v>63.482741122874003</c:v>
                </c:pt>
                <c:pt idx="47">
                  <c:v>-69.197292633106102</c:v>
                </c:pt>
                <c:pt idx="48">
                  <c:v>-140.34175591274197</c:v>
                </c:pt>
                <c:pt idx="49">
                  <c:v>-110.949552533087</c:v>
                </c:pt>
                <c:pt idx="50">
                  <c:v>-95.676284449339107</c:v>
                </c:pt>
                <c:pt idx="51">
                  <c:v>138.61339137425301</c:v>
                </c:pt>
                <c:pt idx="52">
                  <c:v>146.56935108633101</c:v>
                </c:pt>
                <c:pt idx="53">
                  <c:v>161.95767644347598</c:v>
                </c:pt>
                <c:pt idx="54">
                  <c:v>109.90328496816599</c:v>
                </c:pt>
                <c:pt idx="55">
                  <c:v>57.694568092504994</c:v>
                </c:pt>
                <c:pt idx="56">
                  <c:v>292.71172764010697</c:v>
                </c:pt>
                <c:pt idx="57">
                  <c:v>185.34275752829203</c:v>
                </c:pt>
                <c:pt idx="58">
                  <c:v>184.85876959005898</c:v>
                </c:pt>
                <c:pt idx="59">
                  <c:v>124.704367391039</c:v>
                </c:pt>
                <c:pt idx="60">
                  <c:v>58.256506613222996</c:v>
                </c:pt>
                <c:pt idx="61">
                  <c:v>84.31393189469</c:v>
                </c:pt>
                <c:pt idx="62">
                  <c:v>-9.6794919968340025</c:v>
                </c:pt>
                <c:pt idx="63">
                  <c:v>-32.637888149087004</c:v>
                </c:pt>
                <c:pt idx="64">
                  <c:v>192.80230306467001</c:v>
                </c:pt>
                <c:pt idx="65">
                  <c:v>190.56880053933102</c:v>
                </c:pt>
                <c:pt idx="66">
                  <c:v>225.326258483777</c:v>
                </c:pt>
                <c:pt idx="67">
                  <c:v>257.387151410748</c:v>
                </c:pt>
                <c:pt idx="68">
                  <c:v>309.991520699641</c:v>
                </c:pt>
                <c:pt idx="69">
                  <c:v>61.415343731680011</c:v>
                </c:pt>
                <c:pt idx="70">
                  <c:v>232.36622121694199</c:v>
                </c:pt>
                <c:pt idx="71">
                  <c:v>79.378277089457015</c:v>
                </c:pt>
                <c:pt idx="72">
                  <c:v>35.231477883951996</c:v>
                </c:pt>
                <c:pt idx="73">
                  <c:v>270.43989455662199</c:v>
                </c:pt>
                <c:pt idx="74">
                  <c:v>302.91661017945705</c:v>
                </c:pt>
                <c:pt idx="75">
                  <c:v>200.53691834300997</c:v>
                </c:pt>
                <c:pt idx="76">
                  <c:v>167.19042764734996</c:v>
                </c:pt>
                <c:pt idx="77">
                  <c:v>254.219036764923</c:v>
                </c:pt>
                <c:pt idx="78">
                  <c:v>256.20511474950399</c:v>
                </c:pt>
                <c:pt idx="79">
                  <c:v>176.79920800197101</c:v>
                </c:pt>
                <c:pt idx="80">
                  <c:v>105.71425024709799</c:v>
                </c:pt>
                <c:pt idx="81">
                  <c:v>156.25559048798101</c:v>
                </c:pt>
                <c:pt idx="82">
                  <c:v>127.81334884841799</c:v>
                </c:pt>
                <c:pt idx="83">
                  <c:v>55.788944666399004</c:v>
                </c:pt>
                <c:pt idx="84">
                  <c:v>-17.224037399067001</c:v>
                </c:pt>
                <c:pt idx="85">
                  <c:v>7.7366217311659966</c:v>
                </c:pt>
                <c:pt idx="86">
                  <c:v>-57.471981450553002</c:v>
                </c:pt>
                <c:pt idx="87">
                  <c:v>175.67315918551498</c:v>
                </c:pt>
                <c:pt idx="88">
                  <c:v>129.60992032489401</c:v>
                </c:pt>
                <c:pt idx="89">
                  <c:v>33.393391671252985</c:v>
                </c:pt>
                <c:pt idx="90">
                  <c:v>178.77419523555398</c:v>
                </c:pt>
                <c:pt idx="91">
                  <c:v>221.46761827422401</c:v>
                </c:pt>
                <c:pt idx="92">
                  <c:v>174.74882807760201</c:v>
                </c:pt>
                <c:pt idx="93">
                  <c:v>256.85337440483499</c:v>
                </c:pt>
                <c:pt idx="94">
                  <c:v>129.80795904604901</c:v>
                </c:pt>
                <c:pt idx="95">
                  <c:v>14.153616014281994</c:v>
                </c:pt>
                <c:pt idx="96">
                  <c:v>188.01155148605901</c:v>
                </c:pt>
                <c:pt idx="97">
                  <c:v>24.925115278796994</c:v>
                </c:pt>
                <c:pt idx="98">
                  <c:v>164.55234000250499</c:v>
                </c:pt>
                <c:pt idx="99">
                  <c:v>180.37835153727099</c:v>
                </c:pt>
                <c:pt idx="100">
                  <c:v>216.85206855393298</c:v>
                </c:pt>
                <c:pt idx="101">
                  <c:v>158.522585543952</c:v>
                </c:pt>
                <c:pt idx="102">
                  <c:v>112.81795931104899</c:v>
                </c:pt>
                <c:pt idx="103">
                  <c:v>144.59013491521398</c:v>
                </c:pt>
                <c:pt idx="104">
                  <c:v>343.603050752282</c:v>
                </c:pt>
                <c:pt idx="105">
                  <c:v>207.50879618818499</c:v>
                </c:pt>
                <c:pt idx="106">
                  <c:v>337.28014923563103</c:v>
                </c:pt>
                <c:pt idx="107">
                  <c:v>-13.493841284309994</c:v>
                </c:pt>
                <c:pt idx="108">
                  <c:v>-23.766385338717996</c:v>
                </c:pt>
                <c:pt idx="109">
                  <c:v>128.58042478420398</c:v>
                </c:pt>
                <c:pt idx="110">
                  <c:v>200.00617041425301</c:v>
                </c:pt>
                <c:pt idx="111">
                  <c:v>449.86721715570894</c:v>
                </c:pt>
                <c:pt idx="112">
                  <c:v>13.426145475981002</c:v>
                </c:pt>
                <c:pt idx="113">
                  <c:v>65.653696078097994</c:v>
                </c:pt>
                <c:pt idx="114">
                  <c:v>148.210287803136</c:v>
                </c:pt>
                <c:pt idx="115">
                  <c:v>191.656701680835</c:v>
                </c:pt>
                <c:pt idx="116">
                  <c:v>243.62458570092301</c:v>
                </c:pt>
                <c:pt idx="117">
                  <c:v>329.66188883873798</c:v>
                </c:pt>
                <c:pt idx="118">
                  <c:v>103.40702331324302</c:v>
                </c:pt>
                <c:pt idx="119">
                  <c:v>-56.478609584571998</c:v>
                </c:pt>
                <c:pt idx="120">
                  <c:v>103.876574374331</c:v>
                </c:pt>
                <c:pt idx="121">
                  <c:v>263.841654884999</c:v>
                </c:pt>
                <c:pt idx="122">
                  <c:v>388.40105085230999</c:v>
                </c:pt>
                <c:pt idx="123">
                  <c:v>39.016053166456999</c:v>
                </c:pt>
                <c:pt idx="124">
                  <c:v>93.159176511135996</c:v>
                </c:pt>
                <c:pt idx="125">
                  <c:v>214.724026369923</c:v>
                </c:pt>
                <c:pt idx="126">
                  <c:v>133.97233300679699</c:v>
                </c:pt>
                <c:pt idx="127">
                  <c:v>265.02735765821399</c:v>
                </c:pt>
                <c:pt idx="128">
                  <c:v>232.26454304123402</c:v>
                </c:pt>
                <c:pt idx="129">
                  <c:v>244.46148547666101</c:v>
                </c:pt>
                <c:pt idx="130">
                  <c:v>31.134231319680012</c:v>
                </c:pt>
                <c:pt idx="131">
                  <c:v>94.996966378845016</c:v>
                </c:pt>
                <c:pt idx="132">
                  <c:v>16.061462930389013</c:v>
                </c:pt>
                <c:pt idx="133">
                  <c:v>98.089765389262993</c:v>
                </c:pt>
                <c:pt idx="134">
                  <c:v>229.87872841422401</c:v>
                </c:pt>
                <c:pt idx="135">
                  <c:v>96.028687698243019</c:v>
                </c:pt>
                <c:pt idx="136">
                  <c:v>229.38455243979698</c:v>
                </c:pt>
                <c:pt idx="137">
                  <c:v>62.723913768127005</c:v>
                </c:pt>
                <c:pt idx="138">
                  <c:v>89.804084513612011</c:v>
                </c:pt>
                <c:pt idx="139">
                  <c:v>60.445367655951983</c:v>
                </c:pt>
                <c:pt idx="140">
                  <c:v>174.549038995632</c:v>
                </c:pt>
                <c:pt idx="141">
                  <c:v>289.63940791487397</c:v>
                </c:pt>
                <c:pt idx="142">
                  <c:v>170.38108470158198</c:v>
                </c:pt>
                <c:pt idx="143">
                  <c:v>3.4303505133890013</c:v>
                </c:pt>
                <c:pt idx="144">
                  <c:v>19.382730381165999</c:v>
                </c:pt>
                <c:pt idx="145">
                  <c:v>-102.320674688796</c:v>
                </c:pt>
                <c:pt idx="146">
                  <c:v>93.201607978456991</c:v>
                </c:pt>
                <c:pt idx="147">
                  <c:v>316.81026668642801</c:v>
                </c:pt>
                <c:pt idx="148">
                  <c:v>151.33814612980598</c:v>
                </c:pt>
                <c:pt idx="149">
                  <c:v>238.40014272077599</c:v>
                </c:pt>
                <c:pt idx="150">
                  <c:v>126.264303900496</c:v>
                </c:pt>
                <c:pt idx="151">
                  <c:v>264.20199935382595</c:v>
                </c:pt>
                <c:pt idx="152">
                  <c:v>130.49430011778702</c:v>
                </c:pt>
                <c:pt idx="153">
                  <c:v>335.26329615358298</c:v>
                </c:pt>
                <c:pt idx="154">
                  <c:v>138.26043241420399</c:v>
                </c:pt>
                <c:pt idx="155">
                  <c:v>-76.542098763349003</c:v>
                </c:pt>
                <c:pt idx="156">
                  <c:v>62.929377775747994</c:v>
                </c:pt>
                <c:pt idx="157">
                  <c:v>-72.066953658281108</c:v>
                </c:pt>
                <c:pt idx="158">
                  <c:v>26.937899813650986</c:v>
                </c:pt>
                <c:pt idx="159">
                  <c:v>3.5199129813299948</c:v>
                </c:pt>
                <c:pt idx="160">
                  <c:v>209.27521313617501</c:v>
                </c:pt>
                <c:pt idx="161">
                  <c:v>358.82194377128201</c:v>
                </c:pt>
                <c:pt idx="162">
                  <c:v>219.16353318246698</c:v>
                </c:pt>
                <c:pt idx="163">
                  <c:v>294.50267188176701</c:v>
                </c:pt>
              </c:numCache>
            </c:numRef>
          </c:val>
          <c:extLst>
            <c:ext xmlns:c16="http://schemas.microsoft.com/office/drawing/2014/chart" uri="{C3380CC4-5D6E-409C-BE32-E72D297353CC}">
              <c16:uniqueId val="{00000000-6E6B-4820-9B5C-557591D7A6D0}"/>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50409386672241074"/>
              <c:y val="0.93494764486434634"/>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Majuro!$M$1</c:f>
              <c:strCache>
                <c:ptCount val="1"/>
                <c:pt idx="0">
                  <c:v>IMERG (P)</c:v>
                </c:pt>
              </c:strCache>
            </c:strRef>
          </c:tx>
          <c:spPr>
            <a:solidFill>
              <a:schemeClr val="accent1">
                <a:lumMod val="60000"/>
                <a:lumOff val="40000"/>
              </a:schemeClr>
            </a:solidFill>
            <a:ln>
              <a:noFill/>
            </a:ln>
            <a:effectLst/>
          </c:spPr>
          <c:invertIfNegative val="0"/>
          <c:cat>
            <c:numRef>
              <c:f>Majuro!$L$18:$L$29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Majuro!$M$18:$M$29</c:f>
              <c:numCache>
                <c:formatCode>General</c:formatCode>
                <c:ptCount val="12"/>
                <c:pt idx="0">
                  <c:v>2571.569374399</c:v>
                </c:pt>
                <c:pt idx="1">
                  <c:v>3303.7960258540002</c:v>
                </c:pt>
                <c:pt idx="2">
                  <c:v>3356.2104712529999</c:v>
                </c:pt>
                <c:pt idx="3">
                  <c:v>2332.155493747</c:v>
                </c:pt>
                <c:pt idx="4">
                  <c:v>3041.8732773269999</c:v>
                </c:pt>
                <c:pt idx="5">
                  <c:v>3480.467145091</c:v>
                </c:pt>
                <c:pt idx="6">
                  <c:v>2634.1482850299999</c:v>
                </c:pt>
                <c:pt idx="7">
                  <c:v>3438.7782430910001</c:v>
                </c:pt>
                <c:pt idx="8">
                  <c:v>3185.9115845249999</c:v>
                </c:pt>
                <c:pt idx="9">
                  <c:v>3295.7688091159998</c:v>
                </c:pt>
                <c:pt idx="10">
                  <c:v>2959.235487985</c:v>
                </c:pt>
                <c:pt idx="11">
                  <c:v>3063.163794865</c:v>
                </c:pt>
              </c:numCache>
            </c:numRef>
          </c:val>
          <c:extLst>
            <c:ext xmlns:c16="http://schemas.microsoft.com/office/drawing/2014/chart" uri="{C3380CC4-5D6E-409C-BE32-E72D297353CC}">
              <c16:uniqueId val="{00000000-D851-4382-8313-5FF3CA35E6D1}"/>
            </c:ext>
          </c:extLst>
        </c:ser>
        <c:ser>
          <c:idx val="0"/>
          <c:order val="1"/>
          <c:tx>
            <c:strRef>
              <c:f>Majuro!$N$1</c:f>
              <c:strCache>
                <c:ptCount val="1"/>
                <c:pt idx="0">
                  <c:v>SSEBop (ETa)</c:v>
                </c:pt>
              </c:strCache>
            </c:strRef>
          </c:tx>
          <c:spPr>
            <a:solidFill>
              <a:schemeClr val="accent3">
                <a:lumMod val="50000"/>
              </a:schemeClr>
            </a:solidFill>
            <a:ln>
              <a:noFill/>
            </a:ln>
            <a:effectLst/>
          </c:spPr>
          <c:invertIfNegative val="0"/>
          <c:cat>
            <c:numRef>
              <c:f>Majuro!$L$18:$L$29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Majuro!$N$18:$N$29</c:f>
              <c:numCache>
                <c:formatCode>General</c:formatCode>
                <c:ptCount val="12"/>
                <c:pt idx="0">
                  <c:v>1344</c:v>
                </c:pt>
                <c:pt idx="1">
                  <c:v>1347</c:v>
                </c:pt>
                <c:pt idx="2">
                  <c:v>1344</c:v>
                </c:pt>
                <c:pt idx="3">
                  <c:v>1363</c:v>
                </c:pt>
                <c:pt idx="4">
                  <c:v>1347</c:v>
                </c:pt>
                <c:pt idx="5">
                  <c:v>1348</c:v>
                </c:pt>
                <c:pt idx="6">
                  <c:v>1345</c:v>
                </c:pt>
                <c:pt idx="7">
                  <c:v>1346</c:v>
                </c:pt>
                <c:pt idx="8">
                  <c:v>1349</c:v>
                </c:pt>
                <c:pt idx="9">
                  <c:v>1342</c:v>
                </c:pt>
                <c:pt idx="10">
                  <c:v>1347</c:v>
                </c:pt>
                <c:pt idx="11">
                  <c:v>1348</c:v>
                </c:pt>
              </c:numCache>
            </c:numRef>
          </c:val>
          <c:extLst>
            <c:ext xmlns:c16="http://schemas.microsoft.com/office/drawing/2014/chart" uri="{C3380CC4-5D6E-409C-BE32-E72D297353CC}">
              <c16:uniqueId val="{00000001-D851-4382-8313-5FF3CA35E6D1}"/>
            </c:ext>
          </c:extLst>
        </c:ser>
        <c:ser>
          <c:idx val="2"/>
          <c:order val="2"/>
          <c:tx>
            <c:strRef>
              <c:f>Majuro!$O$1</c:f>
              <c:strCache>
                <c:ptCount val="1"/>
                <c:pt idx="0">
                  <c:v>P - ETa</c:v>
                </c:pt>
              </c:strCache>
            </c:strRef>
          </c:tx>
          <c:spPr>
            <a:solidFill>
              <a:srgbClr val="002060"/>
            </a:solidFill>
            <a:ln>
              <a:noFill/>
            </a:ln>
            <a:effectLst/>
          </c:spPr>
          <c:invertIfNegative val="0"/>
          <c:cat>
            <c:numRef>
              <c:f>Majuro!$L$18:$L$29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Majuro!$O$18:$O$29</c:f>
              <c:numCache>
                <c:formatCode>0</c:formatCode>
                <c:ptCount val="12"/>
                <c:pt idx="0">
                  <c:v>1227.569374399</c:v>
                </c:pt>
                <c:pt idx="1">
                  <c:v>1956.7960258540002</c:v>
                </c:pt>
                <c:pt idx="2">
                  <c:v>2012.2104712529999</c:v>
                </c:pt>
                <c:pt idx="3">
                  <c:v>969.15549374700004</c:v>
                </c:pt>
                <c:pt idx="4">
                  <c:v>1694.8732773269999</c:v>
                </c:pt>
                <c:pt idx="5">
                  <c:v>2132.467145091</c:v>
                </c:pt>
                <c:pt idx="6">
                  <c:v>1289.1482850299999</c:v>
                </c:pt>
                <c:pt idx="7">
                  <c:v>2092.7782430910001</c:v>
                </c:pt>
                <c:pt idx="8">
                  <c:v>1836.9115845249999</c:v>
                </c:pt>
                <c:pt idx="9">
                  <c:v>1953.7688091159998</c:v>
                </c:pt>
                <c:pt idx="10">
                  <c:v>1612.235487985</c:v>
                </c:pt>
                <c:pt idx="11">
                  <c:v>1715.163794865</c:v>
                </c:pt>
              </c:numCache>
            </c:numRef>
          </c:val>
          <c:extLst>
            <c:ext xmlns:c16="http://schemas.microsoft.com/office/drawing/2014/chart" uri="{C3380CC4-5D6E-409C-BE32-E72D297353CC}">
              <c16:uniqueId val="{00000002-D851-4382-8313-5FF3CA35E6D1}"/>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42221619707E-2"/>
              <c:y val="0.23606152099681663"/>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Props1.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2.xml><?xml version="1.0" encoding="utf-8"?>
<ds:datastoreItem xmlns:ds="http://schemas.openxmlformats.org/officeDocument/2006/customXml" ds:itemID="{6763F4BB-F3CD-47FE-9AA0-892B305FDD6E}">
  <ds:schemaRefs>
    <ds:schemaRef ds:uri="http://schemas.microsoft.com/sharepoint/v3/contenttype/forms"/>
  </ds:schemaRefs>
</ds:datastoreItem>
</file>

<file path=customXml/itemProps3.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E54B05-05F0-494E-A531-26AB656042C5}">
  <ds:schemaRefs>
    <ds:schemaRef ds:uri="http://schemas.microsoft.com/office/2006/metadata/properties"/>
    <ds:schemaRef ds:uri="http://schemas.microsoft.com/office/infopath/2007/PartnerControls"/>
    <ds:schemaRef ds:uri="1741af05-4105-436b-99ed-2ae635da4422"/>
    <ds:schemaRef ds:uri="31062a0d-ede8-4112-b4bb-00a9c1bc8e16"/>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manuscript_template_v6.0.dotx</Template>
  <TotalTime>88</TotalTime>
  <Pages>38</Pages>
  <Words>7552</Words>
  <Characters>45768</Characters>
  <Application>Microsoft Office Word</Application>
  <DocSecurity>0</DocSecurity>
  <Lines>802</Lines>
  <Paragraphs>327</Paragraphs>
  <ScaleCrop>false</ScaleCrop>
  <Company>Department of Interior</Company>
  <LinksUpToDate>false</LinksUpToDate>
  <CharactersWithSpaces>52993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Kagone, Stefanie (Contractor)</cp:lastModifiedBy>
  <cp:revision>369</cp:revision>
  <cp:lastPrinted>2018-11-27T02:43:00Z</cp:lastPrinted>
  <dcterms:created xsi:type="dcterms:W3CDTF">2026-01-30T18:09:00Z</dcterms:created>
  <dcterms:modified xsi:type="dcterms:W3CDTF">2026-04-28T21:35:00Z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